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A3" w:rsidRDefault="004779A3" w:rsidP="004779A3">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4779A3" w:rsidRDefault="004779A3" w:rsidP="004779A3">
      <w:pPr>
        <w:pStyle w:val="Default"/>
        <w:jc w:val="center"/>
        <w:rPr>
          <w:sz w:val="28"/>
          <w:szCs w:val="28"/>
        </w:rPr>
      </w:pPr>
      <w:r>
        <w:rPr>
          <w:sz w:val="28"/>
          <w:szCs w:val="28"/>
        </w:rPr>
        <w:t>Poder Judicial de la Nación</w:t>
      </w:r>
    </w:p>
    <w:p w:rsidR="004779A3" w:rsidRDefault="004779A3" w:rsidP="004779A3">
      <w:pPr>
        <w:pStyle w:val="Default"/>
        <w:jc w:val="center"/>
        <w:rPr>
          <w:sz w:val="32"/>
          <w:szCs w:val="32"/>
        </w:rPr>
      </w:pPr>
      <w:r>
        <w:rPr>
          <w:sz w:val="32"/>
          <w:szCs w:val="32"/>
        </w:rPr>
        <w:t>CAMARA CONTENCIOSO ADMINISTRATIVO FEDERAL- SALA V</w:t>
      </w:r>
    </w:p>
    <w:p w:rsidR="004779A3" w:rsidRDefault="004779A3" w:rsidP="004779A3">
      <w:pPr>
        <w:pStyle w:val="Default"/>
        <w:jc w:val="both"/>
        <w:rPr>
          <w:rFonts w:ascii="Liberation Sans" w:hAnsi="Liberation Sans" w:cs="Liberation Sans"/>
          <w:sz w:val="25"/>
          <w:szCs w:val="25"/>
        </w:rPr>
      </w:pPr>
      <w:r>
        <w:rPr>
          <w:sz w:val="32"/>
          <w:szCs w:val="32"/>
        </w:rPr>
        <w:t xml:space="preserve"> </w:t>
      </w:r>
      <w:r>
        <w:rPr>
          <w:rFonts w:ascii="Liberation Sans" w:hAnsi="Liberation Sans" w:cs="Liberation Sans"/>
          <w:sz w:val="25"/>
          <w:szCs w:val="25"/>
        </w:rPr>
        <w:t>43170/2014</w:t>
      </w:r>
    </w:p>
    <w:p w:rsidR="004779A3" w:rsidRDefault="004779A3" w:rsidP="004779A3">
      <w:pPr>
        <w:pStyle w:val="Default"/>
        <w:spacing w:before="1246"/>
        <w:jc w:val="both"/>
        <w:rPr>
          <w:rFonts w:ascii="Liberation Sans" w:hAnsi="Liberation Sans" w:cs="Liberation Sans"/>
          <w:sz w:val="25"/>
          <w:szCs w:val="25"/>
        </w:rPr>
      </w:pPr>
      <w:r>
        <w:rPr>
          <w:rFonts w:ascii="Liberation Sans" w:hAnsi="Liberation Sans" w:cs="Liberation Sans"/>
          <w:sz w:val="25"/>
          <w:szCs w:val="25"/>
        </w:rPr>
        <w:t>L.L.I.</w:t>
      </w:r>
      <w:r>
        <w:rPr>
          <w:rFonts w:ascii="Liberation Sans" w:hAnsi="Liberation Sans" w:cs="Liberation Sans"/>
          <w:sz w:val="25"/>
          <w:szCs w:val="25"/>
        </w:rPr>
        <w:t xml:space="preserve"> c/ COLEGIO PUBLICO DE ABOGADOS DE CAPITAL FEDERAL s/RECURSO DIRECTO DE ORGANISMO EXTERNO</w:t>
      </w:r>
    </w:p>
    <w:p w:rsidR="004779A3" w:rsidRDefault="004779A3" w:rsidP="004779A3">
      <w:pPr>
        <w:pStyle w:val="Default"/>
        <w:spacing w:before="1246"/>
        <w:jc w:val="both"/>
        <w:rPr>
          <w:rFonts w:ascii="Liberation Sans" w:hAnsi="Liberation Sans" w:cs="Liberation Sans"/>
          <w:sz w:val="25"/>
          <w:szCs w:val="25"/>
        </w:rPr>
      </w:pPr>
      <w:r>
        <w:rPr>
          <w:rFonts w:ascii="Liberation Sans" w:hAnsi="Liberation Sans" w:cs="Liberation Sans"/>
          <w:sz w:val="25"/>
          <w:szCs w:val="25"/>
        </w:rPr>
        <w:t xml:space="preserve">Buenos Aires, de julio de 2015.- </w:t>
      </w:r>
    </w:p>
    <w:p w:rsidR="004779A3" w:rsidRDefault="004779A3" w:rsidP="004779A3">
      <w:pPr>
        <w:pStyle w:val="Default"/>
        <w:spacing w:before="286"/>
        <w:jc w:val="both"/>
        <w:rPr>
          <w:rFonts w:ascii="Liberation Sans" w:hAnsi="Liberation Sans" w:cs="Liberation Sans"/>
          <w:sz w:val="25"/>
          <w:szCs w:val="25"/>
        </w:rPr>
      </w:pPr>
      <w:r>
        <w:rPr>
          <w:rFonts w:ascii="Liberation Sans" w:hAnsi="Liberation Sans" w:cs="Liberation Sans"/>
          <w:sz w:val="25"/>
          <w:szCs w:val="25"/>
        </w:rPr>
        <w:t>VISTO Y CONSIDERANDO:</w:t>
      </w:r>
    </w:p>
    <w:p w:rsidR="004779A3" w:rsidRDefault="004779A3" w:rsidP="004779A3">
      <w:pPr>
        <w:pStyle w:val="Default"/>
        <w:spacing w:before="286"/>
        <w:ind w:firstLine="5953"/>
        <w:jc w:val="both"/>
        <w:rPr>
          <w:rFonts w:ascii="Liberation Sans" w:hAnsi="Liberation Sans" w:cs="Liberation Sans"/>
          <w:sz w:val="25"/>
          <w:szCs w:val="25"/>
        </w:rPr>
      </w:pPr>
      <w:r>
        <w:rPr>
          <w:rFonts w:ascii="Liberation Sans" w:hAnsi="Liberation Sans" w:cs="Liberation Sans"/>
          <w:sz w:val="25"/>
          <w:szCs w:val="25"/>
        </w:rPr>
        <w:t xml:space="preserve">I.-Que por medio de la resolución de fs. 74/79, la Sala I del Tribunal de Disciplina del Colegio Público de Abogados de la Capital Federal aplicó a la abogada </w:t>
      </w:r>
      <w:r>
        <w:rPr>
          <w:rFonts w:ascii="Liberation Sans" w:hAnsi="Liberation Sans" w:cs="Liberation Sans"/>
          <w:sz w:val="25"/>
          <w:szCs w:val="25"/>
        </w:rPr>
        <w:t>L.I.L.</w:t>
      </w:r>
      <w:r>
        <w:rPr>
          <w:rFonts w:ascii="Liberation Sans" w:hAnsi="Liberation Sans" w:cs="Liberation Sans"/>
          <w:sz w:val="25"/>
          <w:szCs w:val="25"/>
        </w:rPr>
        <w:t xml:space="preserve"> una sanción de llamado de atención, en los términos del el art. 45 inc. a) de la Ley 23.187, por haber intervenido en una causa judicial sin haber notificado previamente al letrado que había intervenido con anterioridad, en infracción a lo dispuesto en el artículo 15 del Código de Ética.-</w:t>
      </w:r>
    </w:p>
    <w:p w:rsidR="004779A3" w:rsidRDefault="004779A3" w:rsidP="004779A3">
      <w:pPr>
        <w:pStyle w:val="Default"/>
        <w:spacing w:before="286"/>
        <w:ind w:firstLine="5953"/>
        <w:jc w:val="both"/>
        <w:rPr>
          <w:rFonts w:ascii="Liberation Sans" w:hAnsi="Liberation Sans" w:cs="Liberation Sans"/>
          <w:sz w:val="25"/>
          <w:szCs w:val="25"/>
        </w:rPr>
      </w:pPr>
      <w:r>
        <w:rPr>
          <w:rFonts w:ascii="Liberation Sans" w:hAnsi="Liberation Sans" w:cs="Liberation Sans"/>
          <w:sz w:val="25"/>
          <w:szCs w:val="25"/>
        </w:rPr>
        <w:t>Como fundamento, el Tribunal de Disciplina señaló que la profesional sumariada había tomado intervención en la causa “</w:t>
      </w:r>
      <w:r>
        <w:rPr>
          <w:rFonts w:ascii="Liberation Sans" w:hAnsi="Liberation Sans" w:cs="Liberation Sans"/>
          <w:i/>
          <w:iCs/>
          <w:sz w:val="25"/>
          <w:szCs w:val="25"/>
        </w:rPr>
        <w:t>S.H.</w:t>
      </w:r>
      <w:r>
        <w:rPr>
          <w:rFonts w:ascii="Liberation Sans" w:hAnsi="Liberation Sans" w:cs="Liberation Sans"/>
          <w:i/>
          <w:iCs/>
          <w:sz w:val="25"/>
          <w:szCs w:val="25"/>
        </w:rPr>
        <w:t xml:space="preserve"> c/ </w:t>
      </w:r>
      <w:r>
        <w:rPr>
          <w:rFonts w:ascii="Liberation Sans" w:hAnsi="Liberation Sans" w:cs="Liberation Sans"/>
          <w:i/>
          <w:iCs/>
          <w:sz w:val="25"/>
          <w:szCs w:val="25"/>
        </w:rPr>
        <w:t>M.H.</w:t>
      </w:r>
      <w:r>
        <w:rPr>
          <w:rFonts w:ascii="Liberation Sans" w:hAnsi="Liberation Sans" w:cs="Liberation Sans"/>
          <w:i/>
          <w:iCs/>
          <w:sz w:val="25"/>
          <w:szCs w:val="25"/>
        </w:rPr>
        <w:t xml:space="preserve"> y otro s/ Desalojo por falta de pago</w:t>
      </w:r>
      <w:r>
        <w:rPr>
          <w:rFonts w:ascii="Liberation Sans" w:hAnsi="Liberation Sans" w:cs="Liberation Sans"/>
          <w:sz w:val="25"/>
          <w:szCs w:val="25"/>
        </w:rPr>
        <w:t>” (</w:t>
      </w:r>
      <w:proofErr w:type="spellStart"/>
      <w:r>
        <w:rPr>
          <w:rFonts w:ascii="Liberation Sans" w:hAnsi="Liberation Sans" w:cs="Liberation Sans"/>
          <w:sz w:val="25"/>
          <w:szCs w:val="25"/>
        </w:rPr>
        <w:t>expte</w:t>
      </w:r>
      <w:proofErr w:type="spellEnd"/>
      <w:r>
        <w:rPr>
          <w:rFonts w:ascii="Liberation Sans" w:hAnsi="Liberation Sans" w:cs="Liberation Sans"/>
          <w:sz w:val="25"/>
          <w:szCs w:val="25"/>
        </w:rPr>
        <w:t xml:space="preserve">. </w:t>
      </w:r>
      <w:proofErr w:type="gramStart"/>
      <w:r>
        <w:rPr>
          <w:rFonts w:ascii="Liberation Sans" w:hAnsi="Liberation Sans" w:cs="Liberation Sans"/>
          <w:sz w:val="25"/>
          <w:szCs w:val="25"/>
        </w:rPr>
        <w:t xml:space="preserve">nro. </w:t>
      </w:r>
      <w:r>
        <w:rPr>
          <w:rFonts w:ascii="Liberation Sans" w:hAnsi="Liberation Sans" w:cs="Liberation Sans"/>
          <w:sz w:val="25"/>
          <w:szCs w:val="25"/>
        </w:rPr>
        <w:t>….</w:t>
      </w:r>
      <w:proofErr w:type="gramEnd"/>
      <w:r>
        <w:rPr>
          <w:rFonts w:ascii="Liberation Sans" w:hAnsi="Liberation Sans" w:cs="Liberation Sans"/>
          <w:sz w:val="25"/>
          <w:szCs w:val="25"/>
        </w:rPr>
        <w:t xml:space="preserve">), que tramitaba ante el Juzgado Nacional en lo Civil nro. 22, como letrada </w:t>
      </w:r>
      <w:proofErr w:type="spellStart"/>
      <w:r>
        <w:rPr>
          <w:rFonts w:ascii="Liberation Sans" w:hAnsi="Liberation Sans" w:cs="Liberation Sans"/>
          <w:sz w:val="25"/>
          <w:szCs w:val="25"/>
        </w:rPr>
        <w:t>patrocinante</w:t>
      </w:r>
      <w:proofErr w:type="spellEnd"/>
      <w:r>
        <w:rPr>
          <w:rFonts w:ascii="Liberation Sans" w:hAnsi="Liberation Sans" w:cs="Liberation Sans"/>
          <w:sz w:val="25"/>
          <w:szCs w:val="25"/>
        </w:rPr>
        <w:t xml:space="preserve"> de la señora </w:t>
      </w:r>
      <w:r>
        <w:rPr>
          <w:rFonts w:ascii="Liberation Sans" w:hAnsi="Liberation Sans" w:cs="Liberation Sans"/>
          <w:sz w:val="25"/>
          <w:szCs w:val="25"/>
        </w:rPr>
        <w:t>A.N.O.</w:t>
      </w:r>
      <w:r>
        <w:rPr>
          <w:rFonts w:ascii="Liberation Sans" w:hAnsi="Liberation Sans" w:cs="Liberation Sans"/>
          <w:sz w:val="25"/>
          <w:szCs w:val="25"/>
        </w:rPr>
        <w:t xml:space="preserve">, quien hasta entonces había sido patrocinada por el abogado </w:t>
      </w:r>
      <w:proofErr w:type="gramStart"/>
      <w:r>
        <w:rPr>
          <w:rFonts w:ascii="Liberation Sans" w:hAnsi="Liberation Sans" w:cs="Liberation Sans"/>
          <w:sz w:val="25"/>
          <w:szCs w:val="25"/>
        </w:rPr>
        <w:t>E.H.S.</w:t>
      </w:r>
      <w:r>
        <w:rPr>
          <w:rFonts w:ascii="Liberation Sans" w:hAnsi="Liberation Sans" w:cs="Liberation Sans"/>
          <w:sz w:val="25"/>
          <w:szCs w:val="25"/>
        </w:rPr>
        <w:t>.</w:t>
      </w:r>
      <w:proofErr w:type="gramEnd"/>
      <w:r>
        <w:rPr>
          <w:rFonts w:ascii="Liberation Sans" w:hAnsi="Liberation Sans" w:cs="Liberation Sans"/>
          <w:sz w:val="25"/>
          <w:szCs w:val="25"/>
        </w:rPr>
        <w:t xml:space="preserve"> Desestimó las defensas opuestas por el demandante, y, teniendo en cuenta que no registraba antecedentes disciplinarios, le aplicó como sanción un llamado de atención.</w:t>
      </w:r>
    </w:p>
    <w:p w:rsidR="004779A3" w:rsidRDefault="004779A3" w:rsidP="004779A3">
      <w:pPr>
        <w:pStyle w:val="Default"/>
        <w:spacing w:before="286"/>
        <w:ind w:firstLine="5953"/>
        <w:jc w:val="both"/>
        <w:rPr>
          <w:rFonts w:ascii="Liberation Sans" w:hAnsi="Liberation Sans" w:cs="Liberation Sans"/>
          <w:sz w:val="25"/>
          <w:szCs w:val="25"/>
        </w:rPr>
      </w:pPr>
      <w:r>
        <w:rPr>
          <w:rFonts w:ascii="Liberation Sans" w:hAnsi="Liberation Sans" w:cs="Liberation Sans"/>
          <w:sz w:val="25"/>
          <w:szCs w:val="25"/>
        </w:rPr>
        <w:lastRenderedPageBreak/>
        <w:t>II.-Que a fs. 118/121, el Defensor apeló la sanción y fundó el recurso respectivo, que fue contestado por el Colegio Público de Abogados de la Capital Federal a fs. 133/136.-</w:t>
      </w:r>
    </w:p>
    <w:p w:rsidR="004779A3" w:rsidRDefault="004779A3" w:rsidP="004779A3">
      <w:pPr>
        <w:pStyle w:val="Default"/>
        <w:spacing w:before="286"/>
        <w:ind w:firstLine="5953"/>
        <w:jc w:val="both"/>
        <w:rPr>
          <w:rFonts w:ascii="Liberation Sans" w:hAnsi="Liberation Sans" w:cs="Liberation Sans"/>
          <w:sz w:val="25"/>
          <w:szCs w:val="25"/>
        </w:rPr>
      </w:pPr>
      <w:r>
        <w:rPr>
          <w:rFonts w:ascii="Liberation Sans" w:hAnsi="Liberation Sans" w:cs="Liberation Sans"/>
          <w:sz w:val="25"/>
          <w:szCs w:val="25"/>
        </w:rPr>
        <w:t>A fs. 125 dictaminó el Sr. Fiscal General y a fs. 237 se llamó autos para sentencia.</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sz w:val="25"/>
          <w:szCs w:val="25"/>
        </w:rPr>
        <w:t xml:space="preserve">III.- Que, en primer lugar, el apelante sostiene que las sanciones disciplinarias deben ser aplicadas con carácter restrictivo, puesto que aquellas poseen naturaleza penal. </w:t>
      </w:r>
      <w:r>
        <w:rPr>
          <w:rFonts w:ascii="Liberation Sans" w:hAnsi="Liberation Sans" w:cs="Liberation Sans"/>
          <w:color w:val="auto"/>
          <w:sz w:val="25"/>
          <w:szCs w:val="25"/>
        </w:rPr>
        <w:t xml:space="preserve">Asimismo, considera que en el caso, debería verificarse la tipicidad de la conducta imputada, así como la aplicación de los principios de inocencia, </w:t>
      </w:r>
      <w:r>
        <w:rPr>
          <w:rFonts w:ascii="Liberation Sans" w:hAnsi="Liberation Sans" w:cs="Liberation Sans"/>
          <w:i/>
          <w:iCs/>
          <w:color w:val="auto"/>
          <w:sz w:val="25"/>
          <w:szCs w:val="25"/>
        </w:rPr>
        <w:t xml:space="preserve">in dubio pro matriculado, y </w:t>
      </w:r>
      <w:r>
        <w:rPr>
          <w:rFonts w:ascii="Liberation Sans" w:hAnsi="Liberation Sans" w:cs="Liberation Sans"/>
          <w:color w:val="auto"/>
          <w:sz w:val="25"/>
          <w:szCs w:val="25"/>
        </w:rPr>
        <w:t>la prohibición de la analogía, entre otros.</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Por otra parte, destaca la causa disciplinaria tramitada ante el Tribunal de Disciplina fue declarada como “de puro derecho”, y no se agregaron más elementos de prueba que el expediente judicial en el cual intervino la profesional sancionada</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 xml:space="preserve">Con respecto a la intervención de la abogada en ese juicio, sostiene que en ella no vino a suceder en el al abogado que representaba a su clienta, la señora </w:t>
      </w:r>
      <w:r>
        <w:rPr>
          <w:rFonts w:ascii="Liberation Sans" w:hAnsi="Liberation Sans" w:cs="Liberation Sans"/>
          <w:color w:val="auto"/>
          <w:sz w:val="25"/>
          <w:szCs w:val="25"/>
        </w:rPr>
        <w:t>A.O.</w:t>
      </w:r>
      <w:r>
        <w:rPr>
          <w:rFonts w:ascii="Liberation Sans" w:hAnsi="Liberation Sans" w:cs="Liberation Sans"/>
          <w:color w:val="auto"/>
          <w:sz w:val="25"/>
          <w:szCs w:val="25"/>
        </w:rPr>
        <w:t xml:space="preserve"> porque el doctor S</w:t>
      </w:r>
      <w:r>
        <w:rPr>
          <w:rFonts w:ascii="Liberation Sans" w:hAnsi="Liberation Sans" w:cs="Liberation Sans"/>
          <w:color w:val="auto"/>
          <w:sz w:val="25"/>
          <w:szCs w:val="25"/>
        </w:rPr>
        <w:t>.</w:t>
      </w:r>
      <w:r>
        <w:rPr>
          <w:rFonts w:ascii="Liberation Sans" w:hAnsi="Liberation Sans" w:cs="Liberation Sans"/>
          <w:color w:val="auto"/>
          <w:sz w:val="25"/>
          <w:szCs w:val="25"/>
        </w:rPr>
        <w:t xml:space="preserve"> había representado al señor </w:t>
      </w:r>
      <w:r>
        <w:rPr>
          <w:rFonts w:ascii="Liberation Sans" w:hAnsi="Liberation Sans" w:cs="Liberation Sans"/>
          <w:color w:val="auto"/>
          <w:sz w:val="25"/>
          <w:szCs w:val="25"/>
        </w:rPr>
        <w:t>H.S.</w:t>
      </w:r>
      <w:r>
        <w:rPr>
          <w:rFonts w:ascii="Liberation Sans" w:hAnsi="Liberation Sans" w:cs="Liberation Sans"/>
          <w:color w:val="auto"/>
          <w:sz w:val="25"/>
          <w:szCs w:val="25"/>
        </w:rPr>
        <w:t>, esposo de ella fallecido con anterioridad a la intervención de la abogada L</w:t>
      </w:r>
      <w:proofErr w:type="gramStart"/>
      <w:r>
        <w:rPr>
          <w:rFonts w:ascii="Liberation Sans" w:hAnsi="Liberation Sans" w:cs="Liberation Sans"/>
          <w:color w:val="auto"/>
          <w:sz w:val="25"/>
          <w:szCs w:val="25"/>
        </w:rPr>
        <w:t>.</w:t>
      </w:r>
      <w:r>
        <w:rPr>
          <w:rFonts w:ascii="Liberation Sans" w:hAnsi="Liberation Sans" w:cs="Liberation Sans"/>
          <w:color w:val="auto"/>
          <w:sz w:val="25"/>
          <w:szCs w:val="25"/>
        </w:rPr>
        <w:t>.</w:t>
      </w:r>
      <w:proofErr w:type="gramEnd"/>
      <w:r>
        <w:rPr>
          <w:rFonts w:ascii="Liberation Sans" w:hAnsi="Liberation Sans" w:cs="Liberation Sans"/>
          <w:color w:val="auto"/>
          <w:sz w:val="25"/>
          <w:szCs w:val="25"/>
        </w:rPr>
        <w:t xml:space="preserve"> Afirma que, por tales razones, la letrada no vulneró los deberes ni principios éticos que rigen el ejercicio de la abogacía.</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IV.- Que, en primer término, cabe reiterar que, tal como se ha expresado en repetidas oportunidades, las sanciones impuestas por el Tribunal de Disciplina del Colegio de Abogados de la Capital Federal remiten a la definición como injustos de faltas puramente deontológicas; esto es, de infracciones éticas más que jurídicas, propiamente dichas, en cuyo diseño juegan enunciados generales e inespecíficos. Por tales motivos, la subsunción del supuesto fáctico concreto dentro de la conducta típica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resulte manifiestamente arbitraria. (</w:t>
      </w:r>
      <w:proofErr w:type="gramStart"/>
      <w:r>
        <w:rPr>
          <w:rFonts w:ascii="Liberation Sans" w:hAnsi="Liberation Sans" w:cs="Liberation Sans"/>
          <w:color w:val="auto"/>
          <w:sz w:val="25"/>
          <w:szCs w:val="25"/>
        </w:rPr>
        <w:t>conf</w:t>
      </w:r>
      <w:proofErr w:type="gramEnd"/>
      <w:r>
        <w:rPr>
          <w:rFonts w:ascii="Liberation Sans" w:hAnsi="Liberation Sans" w:cs="Liberation Sans"/>
          <w:color w:val="auto"/>
          <w:sz w:val="25"/>
          <w:szCs w:val="25"/>
        </w:rPr>
        <w:t>. Sala I, in re: “</w:t>
      </w:r>
      <w:proofErr w:type="spellStart"/>
      <w:r>
        <w:rPr>
          <w:rFonts w:ascii="Liberation Sans" w:hAnsi="Liberation Sans" w:cs="Liberation Sans"/>
          <w:color w:val="auto"/>
          <w:sz w:val="25"/>
          <w:szCs w:val="25"/>
        </w:rPr>
        <w:t>Vitolo</w:t>
      </w:r>
      <w:proofErr w:type="spellEnd"/>
      <w:r>
        <w:rPr>
          <w:rFonts w:ascii="Liberation Sans" w:hAnsi="Liberation Sans" w:cs="Liberation Sans"/>
          <w:color w:val="auto"/>
          <w:sz w:val="25"/>
          <w:szCs w:val="25"/>
        </w:rPr>
        <w:t>, Daniel, sentencia del 1-2-93; Sala V, in re: Álvarez, Teodora, sentencia del 16-8-95, Causa 50.161/95, sentencia del 2-4-96).-</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 xml:space="preserve">V.- Que cabe señalar que en el artículo 44, inciso g), de la ley 23.187, se dispone que frente a los incumplimientos de las normas de ética profesional sancionadas por el Colegio </w:t>
      </w:r>
      <w:r>
        <w:rPr>
          <w:rFonts w:ascii="Liberation Sans" w:hAnsi="Liberation Sans" w:cs="Liberation Sans"/>
          <w:color w:val="auto"/>
          <w:sz w:val="25"/>
          <w:szCs w:val="25"/>
        </w:rPr>
        <w:lastRenderedPageBreak/>
        <w:t>Público de Abogados de la Capital Federal, los abogados matriculados están sujetos a sanciones disciplinarias individualizadas en el artículo 45, entre las que se encuentra el “llamado de atención” (inciso a)). En este sentido, en el artículo 15 del Código de Ética de ese Colegio, se establece que “</w:t>
      </w:r>
      <w:r>
        <w:rPr>
          <w:rFonts w:ascii="Liberation Sans" w:hAnsi="Liberation Sans" w:cs="Liberation Sans"/>
          <w:i/>
          <w:iCs/>
          <w:color w:val="auto"/>
          <w:sz w:val="25"/>
          <w:szCs w:val="25"/>
        </w:rPr>
        <w:t>todo abogado debe dar aviso fehaciente al colega que haya intervenido previamente en el caso de reemplazarlo o participar en la representación, patrocinio o defensa. Esto no será necesario cuando el letrado anterior hubiera renunciado expresamente o se le hubiera notificado la revocación de tal mandato o patrocinio”.</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 xml:space="preserve">VI.- Que, de las constancias de la causa </w:t>
      </w:r>
      <w:r>
        <w:rPr>
          <w:rFonts w:ascii="Liberation Sans" w:hAnsi="Liberation Sans" w:cs="Liberation Sans"/>
          <w:i/>
          <w:iCs/>
          <w:color w:val="auto"/>
          <w:sz w:val="25"/>
          <w:szCs w:val="25"/>
        </w:rPr>
        <w:t>“</w:t>
      </w:r>
      <w:r>
        <w:rPr>
          <w:rFonts w:ascii="Liberation Sans" w:hAnsi="Liberation Sans" w:cs="Liberation Sans"/>
          <w:i/>
          <w:iCs/>
          <w:color w:val="auto"/>
          <w:sz w:val="25"/>
          <w:szCs w:val="25"/>
        </w:rPr>
        <w:t>S.H.</w:t>
      </w:r>
      <w:r>
        <w:rPr>
          <w:rFonts w:ascii="Liberation Sans" w:hAnsi="Liberation Sans" w:cs="Liberation Sans"/>
          <w:i/>
          <w:iCs/>
          <w:color w:val="auto"/>
          <w:sz w:val="25"/>
          <w:szCs w:val="25"/>
        </w:rPr>
        <w:t xml:space="preserve"> c/ </w:t>
      </w:r>
      <w:r>
        <w:rPr>
          <w:rFonts w:ascii="Liberation Sans" w:hAnsi="Liberation Sans" w:cs="Liberation Sans"/>
          <w:i/>
          <w:iCs/>
          <w:color w:val="auto"/>
          <w:sz w:val="25"/>
          <w:szCs w:val="25"/>
        </w:rPr>
        <w:t>M.H.</w:t>
      </w:r>
      <w:r>
        <w:rPr>
          <w:rFonts w:ascii="Liberation Sans" w:hAnsi="Liberation Sans" w:cs="Liberation Sans"/>
          <w:i/>
          <w:iCs/>
          <w:color w:val="auto"/>
          <w:sz w:val="25"/>
          <w:szCs w:val="25"/>
        </w:rPr>
        <w:t xml:space="preserve"> s/ Desalojo” (</w:t>
      </w:r>
      <w:proofErr w:type="spellStart"/>
      <w:r>
        <w:rPr>
          <w:rFonts w:ascii="Liberation Sans" w:hAnsi="Liberation Sans" w:cs="Liberation Sans"/>
          <w:i/>
          <w:iCs/>
          <w:color w:val="auto"/>
          <w:sz w:val="25"/>
          <w:szCs w:val="25"/>
        </w:rPr>
        <w:t>expte</w:t>
      </w:r>
      <w:proofErr w:type="spellEnd"/>
      <w:r>
        <w:rPr>
          <w:rFonts w:ascii="Liberation Sans" w:hAnsi="Liberation Sans" w:cs="Liberation Sans"/>
          <w:i/>
          <w:iCs/>
          <w:color w:val="auto"/>
          <w:sz w:val="25"/>
          <w:szCs w:val="25"/>
        </w:rPr>
        <w:t xml:space="preserve">. </w:t>
      </w:r>
      <w:proofErr w:type="gramStart"/>
      <w:r>
        <w:rPr>
          <w:rFonts w:ascii="Liberation Sans" w:hAnsi="Liberation Sans" w:cs="Liberation Sans"/>
          <w:i/>
          <w:iCs/>
          <w:color w:val="auto"/>
          <w:sz w:val="25"/>
          <w:szCs w:val="25"/>
        </w:rPr>
        <w:t xml:space="preserve">nro. </w:t>
      </w:r>
      <w:r>
        <w:rPr>
          <w:rFonts w:ascii="Liberation Sans" w:hAnsi="Liberation Sans" w:cs="Liberation Sans"/>
          <w:i/>
          <w:iCs/>
          <w:color w:val="auto"/>
          <w:sz w:val="25"/>
          <w:szCs w:val="25"/>
        </w:rPr>
        <w:t>….</w:t>
      </w:r>
      <w:proofErr w:type="gramEnd"/>
      <w:r>
        <w:rPr>
          <w:rFonts w:ascii="Liberation Sans" w:hAnsi="Liberation Sans" w:cs="Liberation Sans"/>
          <w:i/>
          <w:iCs/>
          <w:color w:val="auto"/>
          <w:sz w:val="25"/>
          <w:szCs w:val="25"/>
        </w:rPr>
        <w:t>)</w:t>
      </w:r>
      <w:r>
        <w:rPr>
          <w:rFonts w:ascii="Liberation Sans" w:hAnsi="Liberation Sans" w:cs="Liberation Sans"/>
          <w:color w:val="auto"/>
          <w:sz w:val="25"/>
          <w:szCs w:val="25"/>
        </w:rPr>
        <w:t xml:space="preserve">, surge que ese proceso fue iniciado por el señor </w:t>
      </w:r>
      <w:r>
        <w:rPr>
          <w:rFonts w:ascii="Liberation Sans" w:hAnsi="Liberation Sans" w:cs="Liberation Sans"/>
          <w:color w:val="auto"/>
          <w:sz w:val="25"/>
          <w:szCs w:val="25"/>
        </w:rPr>
        <w:t>H.A.S.</w:t>
      </w:r>
      <w:r>
        <w:rPr>
          <w:rFonts w:ascii="Liberation Sans" w:hAnsi="Liberation Sans" w:cs="Liberation Sans"/>
          <w:color w:val="auto"/>
          <w:sz w:val="25"/>
          <w:szCs w:val="25"/>
        </w:rPr>
        <w:t xml:space="preserve">, con el patrocinio letrado del doctor </w:t>
      </w:r>
      <w:r>
        <w:rPr>
          <w:rFonts w:ascii="Liberation Sans" w:hAnsi="Liberation Sans" w:cs="Liberation Sans"/>
          <w:color w:val="auto"/>
          <w:sz w:val="25"/>
          <w:szCs w:val="25"/>
        </w:rPr>
        <w:t>E.H.S.</w:t>
      </w:r>
      <w:r>
        <w:rPr>
          <w:rFonts w:ascii="Liberation Sans" w:hAnsi="Liberation Sans" w:cs="Liberation Sans"/>
          <w:color w:val="auto"/>
          <w:sz w:val="25"/>
          <w:szCs w:val="25"/>
        </w:rPr>
        <w:t>(cfr. fs. 38). Después del fallecimiento del señor S</w:t>
      </w:r>
      <w:r>
        <w:rPr>
          <w:rFonts w:ascii="Liberation Sans" w:hAnsi="Liberation Sans" w:cs="Liberation Sans"/>
          <w:color w:val="auto"/>
          <w:sz w:val="25"/>
          <w:szCs w:val="25"/>
        </w:rPr>
        <w:t>.</w:t>
      </w:r>
      <w:r>
        <w:rPr>
          <w:rFonts w:ascii="Liberation Sans" w:hAnsi="Liberation Sans" w:cs="Liberation Sans"/>
          <w:color w:val="auto"/>
          <w:sz w:val="25"/>
          <w:szCs w:val="25"/>
        </w:rPr>
        <w:t xml:space="preserve">, se encuentran agregadas distintas presentaciones de la señora </w:t>
      </w:r>
      <w:r>
        <w:rPr>
          <w:rFonts w:ascii="Liberation Sans" w:hAnsi="Liberation Sans" w:cs="Liberation Sans"/>
          <w:color w:val="auto"/>
          <w:sz w:val="25"/>
          <w:szCs w:val="25"/>
        </w:rPr>
        <w:t>A.O.</w:t>
      </w:r>
      <w:r>
        <w:rPr>
          <w:rFonts w:ascii="Liberation Sans" w:hAnsi="Liberation Sans" w:cs="Liberation Sans"/>
          <w:color w:val="auto"/>
          <w:sz w:val="25"/>
          <w:szCs w:val="25"/>
        </w:rPr>
        <w:t xml:space="preserve">, viuda del señor </w:t>
      </w:r>
      <w:r>
        <w:rPr>
          <w:rFonts w:ascii="Liberation Sans" w:hAnsi="Liberation Sans" w:cs="Liberation Sans"/>
          <w:color w:val="auto"/>
          <w:sz w:val="25"/>
          <w:szCs w:val="25"/>
        </w:rPr>
        <w:t>H.A.S.</w:t>
      </w:r>
      <w:r>
        <w:rPr>
          <w:rFonts w:ascii="Liberation Sans" w:hAnsi="Liberation Sans" w:cs="Liberation Sans"/>
          <w:color w:val="auto"/>
          <w:sz w:val="25"/>
          <w:szCs w:val="25"/>
        </w:rPr>
        <w:t>, con el patrocinio del doctor S</w:t>
      </w:r>
      <w:r>
        <w:rPr>
          <w:rFonts w:ascii="Liberation Sans" w:hAnsi="Liberation Sans" w:cs="Liberation Sans"/>
          <w:color w:val="auto"/>
          <w:sz w:val="25"/>
          <w:szCs w:val="25"/>
        </w:rPr>
        <w:t>.</w:t>
      </w:r>
      <w:r>
        <w:rPr>
          <w:rFonts w:ascii="Liberation Sans" w:hAnsi="Liberation Sans" w:cs="Liberation Sans"/>
          <w:color w:val="auto"/>
          <w:sz w:val="25"/>
          <w:szCs w:val="25"/>
        </w:rPr>
        <w:t xml:space="preserve">, por medio de las cuales se acredita el fallecimiento y se solicita la prosecución del juicio de desalojo (cfr. fs. 48, 59 y 61). Por otra parte, a fs. 70 de esas actuaciones, se presentó la señora </w:t>
      </w:r>
      <w:proofErr w:type="spellStart"/>
      <w:r>
        <w:rPr>
          <w:rFonts w:ascii="Liberation Sans" w:hAnsi="Liberation Sans" w:cs="Liberation Sans"/>
          <w:color w:val="auto"/>
          <w:sz w:val="25"/>
          <w:szCs w:val="25"/>
        </w:rPr>
        <w:t>O</w:t>
      </w:r>
      <w:r>
        <w:rPr>
          <w:rFonts w:ascii="Liberation Sans" w:hAnsi="Liberation Sans" w:cs="Liberation Sans"/>
          <w:color w:val="auto"/>
          <w:sz w:val="25"/>
          <w:szCs w:val="25"/>
        </w:rPr>
        <w:t>.</w:t>
      </w:r>
      <w:r>
        <w:rPr>
          <w:rFonts w:ascii="Liberation Sans" w:hAnsi="Liberation Sans" w:cs="Liberation Sans"/>
          <w:color w:val="auto"/>
          <w:sz w:val="25"/>
          <w:szCs w:val="25"/>
        </w:rPr>
        <w:t>con</w:t>
      </w:r>
      <w:proofErr w:type="spellEnd"/>
      <w:r>
        <w:rPr>
          <w:rFonts w:ascii="Liberation Sans" w:hAnsi="Liberation Sans" w:cs="Liberation Sans"/>
          <w:color w:val="auto"/>
          <w:sz w:val="25"/>
          <w:szCs w:val="25"/>
        </w:rPr>
        <w:t xml:space="preserve"> el patrocinio letrado de la doctora </w:t>
      </w:r>
      <w:r>
        <w:rPr>
          <w:rFonts w:ascii="Liberation Sans" w:hAnsi="Liberation Sans" w:cs="Liberation Sans"/>
          <w:color w:val="auto"/>
          <w:sz w:val="25"/>
          <w:szCs w:val="25"/>
        </w:rPr>
        <w:t>L.I.L.</w:t>
      </w:r>
      <w:r>
        <w:rPr>
          <w:rFonts w:ascii="Liberation Sans" w:hAnsi="Liberation Sans" w:cs="Liberation Sans"/>
          <w:color w:val="auto"/>
          <w:sz w:val="25"/>
          <w:szCs w:val="25"/>
        </w:rPr>
        <w:t>, a los efectos de constituir un nuevo domicilio en esas actuaciones, e informar que había cesado la representación letrada del doctor S</w:t>
      </w:r>
      <w:r>
        <w:rPr>
          <w:rFonts w:ascii="Liberation Sans" w:hAnsi="Liberation Sans" w:cs="Liberation Sans"/>
          <w:color w:val="auto"/>
          <w:sz w:val="25"/>
          <w:szCs w:val="25"/>
        </w:rPr>
        <w:t>.</w:t>
      </w:r>
      <w:r>
        <w:rPr>
          <w:rFonts w:ascii="Liberation Sans" w:hAnsi="Liberation Sans" w:cs="Liberation Sans"/>
          <w:color w:val="auto"/>
          <w:sz w:val="25"/>
          <w:szCs w:val="25"/>
        </w:rPr>
        <w:t xml:space="preserve"> (cfr. fs. 72). </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 xml:space="preserve">De esas constancias surge, entonces, que la doctora </w:t>
      </w:r>
      <w:r>
        <w:rPr>
          <w:rFonts w:ascii="Liberation Sans" w:hAnsi="Liberation Sans" w:cs="Liberation Sans"/>
          <w:color w:val="auto"/>
          <w:sz w:val="25"/>
          <w:szCs w:val="25"/>
        </w:rPr>
        <w:t>L.</w:t>
      </w:r>
      <w:r>
        <w:rPr>
          <w:rFonts w:ascii="Liberation Sans" w:hAnsi="Liberation Sans" w:cs="Liberation Sans"/>
          <w:color w:val="auto"/>
          <w:sz w:val="25"/>
          <w:szCs w:val="25"/>
        </w:rPr>
        <w:t xml:space="preserve"> intervino en la causa </w:t>
      </w:r>
      <w:r>
        <w:rPr>
          <w:rFonts w:ascii="Liberation Sans" w:hAnsi="Liberation Sans" w:cs="Liberation Sans"/>
          <w:i/>
          <w:iCs/>
          <w:color w:val="auto"/>
          <w:sz w:val="25"/>
          <w:szCs w:val="25"/>
        </w:rPr>
        <w:t>“</w:t>
      </w:r>
      <w:r>
        <w:rPr>
          <w:rFonts w:ascii="Liberation Sans" w:hAnsi="Liberation Sans" w:cs="Liberation Sans"/>
          <w:i/>
          <w:iCs/>
          <w:color w:val="auto"/>
          <w:sz w:val="25"/>
          <w:szCs w:val="25"/>
        </w:rPr>
        <w:t>S.H.</w:t>
      </w:r>
      <w:r>
        <w:rPr>
          <w:rFonts w:ascii="Liberation Sans" w:hAnsi="Liberation Sans" w:cs="Liberation Sans"/>
          <w:i/>
          <w:iCs/>
          <w:color w:val="auto"/>
          <w:sz w:val="25"/>
          <w:szCs w:val="25"/>
        </w:rPr>
        <w:t xml:space="preserve"> c/ </w:t>
      </w:r>
      <w:r>
        <w:rPr>
          <w:rFonts w:ascii="Liberation Sans" w:hAnsi="Liberation Sans" w:cs="Liberation Sans"/>
          <w:i/>
          <w:iCs/>
          <w:color w:val="auto"/>
          <w:sz w:val="25"/>
          <w:szCs w:val="25"/>
        </w:rPr>
        <w:t>M.H.</w:t>
      </w:r>
      <w:r>
        <w:rPr>
          <w:rFonts w:ascii="Liberation Sans" w:hAnsi="Liberation Sans" w:cs="Liberation Sans"/>
          <w:i/>
          <w:iCs/>
          <w:color w:val="auto"/>
          <w:sz w:val="25"/>
          <w:szCs w:val="25"/>
        </w:rPr>
        <w:t xml:space="preserve"> s/ Desalojo” (</w:t>
      </w:r>
      <w:r>
        <w:rPr>
          <w:rFonts w:ascii="Liberation Sans" w:hAnsi="Liberation Sans" w:cs="Liberation Sans"/>
          <w:i/>
          <w:iCs/>
          <w:color w:val="auto"/>
          <w:sz w:val="25"/>
          <w:szCs w:val="25"/>
        </w:rPr>
        <w:t>….</w:t>
      </w:r>
      <w:r>
        <w:rPr>
          <w:rFonts w:ascii="Liberation Sans" w:hAnsi="Liberation Sans" w:cs="Liberation Sans"/>
          <w:i/>
          <w:iCs/>
          <w:color w:val="auto"/>
          <w:sz w:val="25"/>
          <w:szCs w:val="25"/>
        </w:rPr>
        <w:t>)</w:t>
      </w:r>
      <w:r>
        <w:rPr>
          <w:rFonts w:ascii="Liberation Sans" w:hAnsi="Liberation Sans" w:cs="Liberation Sans"/>
          <w:color w:val="auto"/>
          <w:sz w:val="25"/>
          <w:szCs w:val="25"/>
        </w:rPr>
        <w:t xml:space="preserve">, en trámite ante el Juzgado Nacional de Primera Instancia en lo Civil nro. 22, sin haber notificado previamente al doctor </w:t>
      </w:r>
      <w:r>
        <w:rPr>
          <w:rFonts w:ascii="Liberation Sans" w:hAnsi="Liberation Sans" w:cs="Liberation Sans"/>
          <w:color w:val="auto"/>
          <w:sz w:val="25"/>
          <w:szCs w:val="25"/>
        </w:rPr>
        <w:t>E.H.S.</w:t>
      </w:r>
      <w:r>
        <w:rPr>
          <w:rFonts w:ascii="Liberation Sans" w:hAnsi="Liberation Sans" w:cs="Liberation Sans"/>
          <w:color w:val="auto"/>
          <w:sz w:val="25"/>
          <w:szCs w:val="25"/>
        </w:rPr>
        <w:t xml:space="preserve">, que había intervenido con anterioridad en esa causa en representación de su clienta, es decir, la señora </w:t>
      </w:r>
      <w:r>
        <w:rPr>
          <w:rFonts w:ascii="Liberation Sans" w:hAnsi="Liberation Sans" w:cs="Liberation Sans"/>
          <w:color w:val="auto"/>
          <w:sz w:val="25"/>
          <w:szCs w:val="25"/>
        </w:rPr>
        <w:t>A.O.</w:t>
      </w:r>
      <w:r>
        <w:rPr>
          <w:rFonts w:ascii="Liberation Sans" w:hAnsi="Liberation Sans" w:cs="Liberation Sans"/>
          <w:color w:val="auto"/>
          <w:sz w:val="25"/>
          <w:szCs w:val="25"/>
        </w:rPr>
        <w:t xml:space="preserve">, viuda del señor </w:t>
      </w:r>
      <w:r>
        <w:rPr>
          <w:rFonts w:ascii="Liberation Sans" w:hAnsi="Liberation Sans" w:cs="Liberation Sans"/>
          <w:color w:val="auto"/>
          <w:sz w:val="25"/>
          <w:szCs w:val="25"/>
        </w:rPr>
        <w:t>H.A.S.</w:t>
      </w:r>
      <w:r>
        <w:rPr>
          <w:rFonts w:ascii="Liberation Sans" w:hAnsi="Liberation Sans" w:cs="Liberation Sans"/>
          <w:color w:val="auto"/>
          <w:sz w:val="25"/>
          <w:szCs w:val="25"/>
        </w:rPr>
        <w:t xml:space="preserve">; ello así, sin que haya sido invocado o acreditado que la profesional haya notificado al letrado que anteriormente llevaba adelante la representación letrada en esa causa. Por ello, corresponde confirmar la resolución apelada. </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VII.- Que, por último, en lo concerniente a la sanción aplicada corresponde destacar que el “llamado de atención” es la sanción menos gravosa entre aquellas previstas en la ley 23.187 para reprimir las faltas disciplinarias de los matriculados, de manera que no es posible sostener que resulta desproporcionada con relación a la falta disciplinaria cometida.</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Por ello, corresponde rechazar el recurso intentado y confirmar la resolución apelada. Con costas a la parte vencida (art. 68 del C.P.C.C.N.). ASÍ SE DECIDE.</w:t>
      </w:r>
    </w:p>
    <w:p w:rsidR="004779A3" w:rsidRDefault="004779A3" w:rsidP="004779A3">
      <w:pPr>
        <w:pStyle w:val="Default"/>
        <w:spacing w:before="286"/>
        <w:ind w:firstLine="5953"/>
        <w:jc w:val="both"/>
        <w:rPr>
          <w:rFonts w:ascii="Liberation Sans" w:hAnsi="Liberation Sans" w:cs="Liberation Sans"/>
          <w:color w:val="auto"/>
          <w:sz w:val="25"/>
          <w:szCs w:val="25"/>
        </w:rPr>
      </w:pPr>
      <w:r>
        <w:rPr>
          <w:rFonts w:ascii="Liberation Sans" w:hAnsi="Liberation Sans" w:cs="Liberation Sans"/>
          <w:color w:val="auto"/>
          <w:sz w:val="25"/>
          <w:szCs w:val="25"/>
        </w:rPr>
        <w:t xml:space="preserve">Regístrese, notifíquese y devuélvanse estos actuados, al Colegio Público de Abogados de la Capital </w:t>
      </w:r>
      <w:r>
        <w:rPr>
          <w:rFonts w:ascii="Liberation Sans" w:hAnsi="Liberation Sans" w:cs="Liberation Sans"/>
          <w:color w:val="auto"/>
          <w:sz w:val="25"/>
          <w:szCs w:val="25"/>
        </w:rPr>
        <w:lastRenderedPageBreak/>
        <w:t>Federal, y la causa “</w:t>
      </w:r>
      <w:r>
        <w:rPr>
          <w:rFonts w:ascii="Liberation Sans" w:hAnsi="Liberation Sans" w:cs="Liberation Sans"/>
          <w:color w:val="auto"/>
          <w:sz w:val="25"/>
          <w:szCs w:val="25"/>
        </w:rPr>
        <w:t>S.H.</w:t>
      </w:r>
      <w:r>
        <w:rPr>
          <w:rFonts w:ascii="Liberation Sans" w:hAnsi="Liberation Sans" w:cs="Liberation Sans"/>
          <w:color w:val="auto"/>
          <w:sz w:val="25"/>
          <w:szCs w:val="25"/>
        </w:rPr>
        <w:t xml:space="preserve"> c/ </w:t>
      </w:r>
      <w:r>
        <w:rPr>
          <w:rFonts w:ascii="Liberation Sans" w:hAnsi="Liberation Sans" w:cs="Liberation Sans"/>
          <w:color w:val="auto"/>
          <w:sz w:val="25"/>
          <w:szCs w:val="25"/>
        </w:rPr>
        <w:t>M.H.</w:t>
      </w:r>
      <w:r>
        <w:rPr>
          <w:rFonts w:ascii="Liberation Sans" w:hAnsi="Liberation Sans" w:cs="Liberation Sans"/>
          <w:color w:val="auto"/>
          <w:sz w:val="25"/>
          <w:szCs w:val="25"/>
        </w:rPr>
        <w:t xml:space="preserve"> s/ Desalojo” (</w:t>
      </w:r>
      <w:proofErr w:type="spellStart"/>
      <w:r>
        <w:rPr>
          <w:rFonts w:ascii="Liberation Sans" w:hAnsi="Liberation Sans" w:cs="Liberation Sans"/>
          <w:color w:val="auto"/>
          <w:sz w:val="25"/>
          <w:szCs w:val="25"/>
        </w:rPr>
        <w:t>expte</w:t>
      </w:r>
      <w:proofErr w:type="spellEnd"/>
      <w:r>
        <w:rPr>
          <w:rFonts w:ascii="Liberation Sans" w:hAnsi="Liberation Sans" w:cs="Liberation Sans"/>
          <w:color w:val="auto"/>
          <w:sz w:val="25"/>
          <w:szCs w:val="25"/>
        </w:rPr>
        <w:t xml:space="preserve">. </w:t>
      </w:r>
      <w:proofErr w:type="gramStart"/>
      <w:r>
        <w:rPr>
          <w:rFonts w:ascii="Liberation Sans" w:hAnsi="Liberation Sans" w:cs="Liberation Sans"/>
          <w:color w:val="auto"/>
          <w:sz w:val="25"/>
          <w:szCs w:val="25"/>
        </w:rPr>
        <w:t xml:space="preserve">nro. </w:t>
      </w:r>
      <w:r>
        <w:rPr>
          <w:rFonts w:ascii="Liberation Sans" w:hAnsi="Liberation Sans" w:cs="Liberation Sans"/>
          <w:color w:val="auto"/>
          <w:sz w:val="25"/>
          <w:szCs w:val="25"/>
        </w:rPr>
        <w:t>…..</w:t>
      </w:r>
      <w:proofErr w:type="gramEnd"/>
      <w:r>
        <w:rPr>
          <w:rFonts w:ascii="Liberation Sans" w:hAnsi="Liberation Sans" w:cs="Liberation Sans"/>
          <w:color w:val="auto"/>
          <w:sz w:val="25"/>
          <w:szCs w:val="25"/>
        </w:rPr>
        <w:t>), al Juzgado Nacional de Primera Instancia en lo Civil nro. 22, mediante oficio de estilo.</w:t>
      </w:r>
    </w:p>
    <w:p w:rsidR="004779A3" w:rsidRDefault="004779A3" w:rsidP="004779A3">
      <w:pPr>
        <w:pStyle w:val="Default"/>
        <w:spacing w:before="286"/>
        <w:ind w:left="1416" w:firstLine="1136"/>
        <w:jc w:val="both"/>
        <w:rPr>
          <w:rFonts w:ascii="Liberation Sans" w:hAnsi="Liberation Sans" w:cs="Liberation Sans"/>
          <w:color w:val="auto"/>
          <w:sz w:val="25"/>
          <w:szCs w:val="25"/>
        </w:rPr>
      </w:pPr>
      <w:r>
        <w:rPr>
          <w:rFonts w:ascii="Liberation Sans" w:hAnsi="Liberation Sans" w:cs="Liberation Sans"/>
          <w:b/>
          <w:bCs/>
          <w:color w:val="auto"/>
          <w:sz w:val="25"/>
          <w:szCs w:val="25"/>
        </w:rPr>
        <w:t xml:space="preserve">Jorge F. </w:t>
      </w:r>
      <w:proofErr w:type="spellStart"/>
      <w:r>
        <w:rPr>
          <w:rFonts w:ascii="Liberation Sans" w:hAnsi="Liberation Sans" w:cs="Liberation Sans"/>
          <w:b/>
          <w:bCs/>
          <w:color w:val="auto"/>
          <w:sz w:val="25"/>
          <w:szCs w:val="25"/>
        </w:rPr>
        <w:t>Alemany</w:t>
      </w:r>
      <w:proofErr w:type="spellEnd"/>
      <w:r>
        <w:rPr>
          <w:rFonts w:ascii="Liberation Sans" w:hAnsi="Liberation Sans" w:cs="Liberation Sans"/>
          <w:b/>
          <w:bCs/>
          <w:color w:val="auto"/>
          <w:sz w:val="25"/>
          <w:szCs w:val="25"/>
        </w:rPr>
        <w:t xml:space="preserve"> Guillermo F. </w:t>
      </w:r>
      <w:proofErr w:type="spellStart"/>
      <w:r>
        <w:rPr>
          <w:rFonts w:ascii="Liberation Sans" w:hAnsi="Liberation Sans" w:cs="Liberation Sans"/>
          <w:b/>
          <w:bCs/>
          <w:color w:val="auto"/>
          <w:sz w:val="25"/>
          <w:szCs w:val="25"/>
        </w:rPr>
        <w:t>Treacy</w:t>
      </w:r>
      <w:proofErr w:type="spellEnd"/>
      <w:r>
        <w:rPr>
          <w:rFonts w:ascii="Liberation Sans" w:hAnsi="Liberation Sans" w:cs="Liberation Sans"/>
          <w:b/>
          <w:bCs/>
          <w:color w:val="auto"/>
          <w:sz w:val="25"/>
          <w:szCs w:val="25"/>
        </w:rPr>
        <w:t xml:space="preserve"> </w:t>
      </w:r>
    </w:p>
    <w:p w:rsidR="004779A3" w:rsidRDefault="004779A3" w:rsidP="004779A3">
      <w:pPr>
        <w:pStyle w:val="Default"/>
        <w:spacing w:before="286"/>
        <w:ind w:firstLine="1417"/>
        <w:jc w:val="both"/>
        <w:rPr>
          <w:rFonts w:ascii="Liberation Sans" w:hAnsi="Liberation Sans" w:cs="Liberation Sans"/>
          <w:b/>
          <w:bCs/>
          <w:color w:val="auto"/>
          <w:sz w:val="25"/>
          <w:szCs w:val="25"/>
        </w:rPr>
      </w:pPr>
      <w:r>
        <w:rPr>
          <w:rFonts w:ascii="Liberation Sans" w:hAnsi="Liberation Sans" w:cs="Liberation Sans"/>
          <w:b/>
          <w:bCs/>
          <w:color w:val="auto"/>
          <w:sz w:val="25"/>
          <w:szCs w:val="25"/>
        </w:rPr>
        <w:t xml:space="preserve">Pablo Gallegos </w:t>
      </w:r>
      <w:proofErr w:type="spellStart"/>
      <w:r>
        <w:rPr>
          <w:rFonts w:ascii="Liberation Sans" w:hAnsi="Liberation Sans" w:cs="Liberation Sans"/>
          <w:b/>
          <w:bCs/>
          <w:color w:val="auto"/>
          <w:sz w:val="25"/>
          <w:szCs w:val="25"/>
        </w:rPr>
        <w:t>Fedriani</w:t>
      </w:r>
      <w:proofErr w:type="spellEnd"/>
      <w:r>
        <w:rPr>
          <w:rFonts w:ascii="Liberation Sans" w:hAnsi="Liberation Sans" w:cs="Liberation Sans"/>
          <w:b/>
          <w:bCs/>
          <w:color w:val="auto"/>
          <w:sz w:val="25"/>
          <w:szCs w:val="25"/>
        </w:rPr>
        <w:t xml:space="preserve"> </w:t>
      </w:r>
    </w:p>
    <w:p w:rsidR="004779A3" w:rsidRDefault="004779A3" w:rsidP="004779A3">
      <w:pPr>
        <w:pStyle w:val="Default"/>
        <w:spacing w:before="286"/>
        <w:ind w:firstLine="1417"/>
        <w:jc w:val="both"/>
        <w:rPr>
          <w:rFonts w:ascii="Liberation Sans" w:hAnsi="Liberation Sans" w:cs="Liberation Sans"/>
          <w:b/>
          <w:bCs/>
          <w:color w:val="auto"/>
          <w:sz w:val="25"/>
          <w:szCs w:val="25"/>
        </w:rPr>
      </w:pPr>
    </w:p>
    <w:p w:rsidR="004779A3" w:rsidRDefault="004779A3" w:rsidP="004779A3">
      <w:pPr>
        <w:pStyle w:val="Default"/>
        <w:spacing w:before="286"/>
        <w:ind w:firstLine="1417"/>
        <w:jc w:val="both"/>
        <w:rPr>
          <w:rFonts w:ascii="Liberation Sans" w:hAnsi="Liberation Sans" w:cs="Liberation Sans"/>
          <w:b/>
          <w:bCs/>
          <w:color w:val="auto"/>
          <w:sz w:val="25"/>
          <w:szCs w:val="25"/>
        </w:rPr>
      </w:pPr>
    </w:p>
    <w:p w:rsidR="004779A3" w:rsidRDefault="004779A3" w:rsidP="004779A3">
      <w:pPr>
        <w:pStyle w:val="Default"/>
        <w:spacing w:before="286"/>
        <w:ind w:firstLine="1417"/>
        <w:jc w:val="both"/>
        <w:rPr>
          <w:rFonts w:ascii="Liberation Sans" w:hAnsi="Liberation Sans" w:cs="Liberation Sans"/>
          <w:b/>
          <w:bCs/>
          <w:color w:val="auto"/>
          <w:sz w:val="25"/>
          <w:szCs w:val="25"/>
        </w:rPr>
      </w:pPr>
    </w:p>
    <w:p w:rsidR="004779A3" w:rsidRDefault="004779A3" w:rsidP="004779A3">
      <w:pPr>
        <w:pStyle w:val="Default"/>
        <w:spacing w:before="286"/>
        <w:ind w:firstLine="1417"/>
        <w:jc w:val="both"/>
        <w:rPr>
          <w:rFonts w:ascii="Liberation Sans" w:hAnsi="Liberation Sans" w:cs="Liberation Sans"/>
          <w:b/>
          <w:bCs/>
          <w:color w:val="auto"/>
          <w:sz w:val="25"/>
          <w:szCs w:val="25"/>
        </w:rPr>
      </w:pPr>
    </w:p>
    <w:p w:rsidR="004779A3" w:rsidRDefault="004779A3" w:rsidP="004779A3">
      <w:pPr>
        <w:pStyle w:val="Default"/>
        <w:spacing w:before="286"/>
        <w:ind w:firstLine="1417"/>
        <w:jc w:val="both"/>
        <w:rPr>
          <w:rFonts w:ascii="Liberation Sans" w:hAnsi="Liberation Sans" w:cs="Liberation Sans"/>
          <w:b/>
          <w:bCs/>
          <w:color w:val="auto"/>
          <w:sz w:val="25"/>
          <w:szCs w:val="25"/>
        </w:rPr>
      </w:pPr>
    </w:p>
    <w:p w:rsidR="004779A3" w:rsidRDefault="004779A3" w:rsidP="004779A3">
      <w:pPr>
        <w:pStyle w:val="Default"/>
        <w:spacing w:before="286"/>
        <w:ind w:firstLine="1417"/>
        <w:jc w:val="both"/>
        <w:rPr>
          <w:rFonts w:ascii="Liberation Sans" w:hAnsi="Liberation Sans" w:cs="Liberation Sans"/>
          <w:b/>
          <w:bCs/>
          <w:color w:val="auto"/>
          <w:sz w:val="25"/>
          <w:szCs w:val="25"/>
        </w:rPr>
      </w:pPr>
    </w:p>
    <w:p w:rsidR="004779A3" w:rsidRDefault="004779A3" w:rsidP="004779A3">
      <w:pPr>
        <w:pStyle w:val="Default"/>
        <w:spacing w:before="286"/>
        <w:ind w:firstLine="1417"/>
        <w:jc w:val="both"/>
        <w:rPr>
          <w:rFonts w:ascii="Liberation Sans" w:hAnsi="Liberation Sans" w:cs="Liberation Sans"/>
          <w:color w:val="auto"/>
          <w:sz w:val="25"/>
          <w:szCs w:val="25"/>
        </w:rPr>
      </w:pPr>
      <w:bookmarkStart w:id="0" w:name="_GoBack"/>
      <w:bookmarkEnd w:id="0"/>
    </w:p>
    <w:p w:rsidR="00294DE4" w:rsidRDefault="004779A3" w:rsidP="004779A3">
      <w:r>
        <w:rPr>
          <w:rFonts w:ascii="Times New Roman" w:hAnsi="Times New Roman" w:cs="Times New Roman"/>
          <w:i/>
          <w:iCs/>
          <w:sz w:val="16"/>
          <w:szCs w:val="16"/>
        </w:rPr>
        <w:t xml:space="preserve">Fecha de firma: 14/07/2015 Firmado por: GALLEGOS FEDRIANI </w:t>
      </w:r>
      <w:proofErr w:type="gramStart"/>
      <w:r>
        <w:rPr>
          <w:rFonts w:ascii="Times New Roman" w:hAnsi="Times New Roman" w:cs="Times New Roman"/>
          <w:i/>
          <w:iCs/>
          <w:sz w:val="16"/>
          <w:szCs w:val="16"/>
        </w:rPr>
        <w:t>PABLO ,</w:t>
      </w:r>
      <w:proofErr w:type="gramEnd"/>
      <w:r>
        <w:rPr>
          <w:rFonts w:ascii="Times New Roman" w:hAnsi="Times New Roman" w:cs="Times New Roman"/>
          <w:i/>
          <w:iCs/>
          <w:sz w:val="16"/>
          <w:szCs w:val="16"/>
        </w:rPr>
        <w:t xml:space="preserve"> JUEZ DE CAMARA Firmado por: JORGE FEDERICO ALEMANY, JUEZ DE CAMARA Firmado por: GUILLERMO F. TREACY, JUEZ DE CAMARA</w:t>
      </w:r>
    </w:p>
    <w:sectPr w:rsidR="00294D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A3"/>
    <w:rsid w:val="00294DE4"/>
    <w:rsid w:val="004779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79A3"/>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4779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79A3"/>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4779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5684</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2015-07-23T00:39:00Z</dcterms:created>
  <dcterms:modified xsi:type="dcterms:W3CDTF">2015-07-23T00:44:00Z</dcterms:modified>
</cp:coreProperties>
</file>