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Fallo: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Mendoza, a los veintidós días del mes de agosto de dos mil trece, reunidos en la Sala de Acuerdo los doctores Horacio </w:t>
      </w:r>
      <w:proofErr w:type="spellStart"/>
      <w:r w:rsidRPr="00803C4D">
        <w:rPr>
          <w:rFonts w:eastAsia="Times New Roman" w:cs="Times New Roman"/>
          <w:bCs/>
          <w:color w:val="000000"/>
          <w:lang w:eastAsia="es-AR"/>
        </w:rPr>
        <w:t>Gianella</w:t>
      </w:r>
      <w:proofErr w:type="spellEnd"/>
      <w:r w:rsidRPr="00803C4D">
        <w:rPr>
          <w:rFonts w:eastAsia="Times New Roman" w:cs="Times New Roman"/>
          <w:bCs/>
          <w:color w:val="000000"/>
          <w:lang w:eastAsia="es-AR"/>
        </w:rPr>
        <w:t xml:space="preserve">, Silvina </w:t>
      </w:r>
      <w:proofErr w:type="spellStart"/>
      <w:r w:rsidRPr="00803C4D">
        <w:rPr>
          <w:rFonts w:eastAsia="Times New Roman" w:cs="Times New Roman"/>
          <w:bCs/>
          <w:color w:val="000000"/>
          <w:lang w:eastAsia="es-AR"/>
        </w:rPr>
        <w:t>Furlotti</w:t>
      </w:r>
      <w:proofErr w:type="spellEnd"/>
      <w:r w:rsidRPr="00803C4D">
        <w:rPr>
          <w:rFonts w:eastAsia="Times New Roman" w:cs="Times New Roman"/>
          <w:bCs/>
          <w:color w:val="000000"/>
          <w:lang w:eastAsia="es-AR"/>
        </w:rPr>
        <w:t xml:space="preserve">, no así la Dra. Gladys </w:t>
      </w:r>
      <w:proofErr w:type="spellStart"/>
      <w:r w:rsidRPr="00803C4D">
        <w:rPr>
          <w:rFonts w:eastAsia="Times New Roman" w:cs="Times New Roman"/>
          <w:bCs/>
          <w:color w:val="000000"/>
          <w:lang w:eastAsia="es-AR"/>
        </w:rPr>
        <w:t>Marsala</w:t>
      </w:r>
      <w:proofErr w:type="spellEnd"/>
      <w:r w:rsidRPr="00803C4D">
        <w:rPr>
          <w:rFonts w:eastAsia="Times New Roman" w:cs="Times New Roman"/>
          <w:bCs/>
          <w:color w:val="000000"/>
          <w:lang w:eastAsia="es-AR"/>
        </w:rPr>
        <w:t xml:space="preserve"> por hallarse en uso de licencia (art. 141 </w:t>
      </w:r>
      <w:proofErr w:type="gramStart"/>
      <w:r w:rsidRPr="00803C4D">
        <w:rPr>
          <w:rFonts w:eastAsia="Times New Roman" w:cs="Times New Roman"/>
          <w:bCs/>
          <w:color w:val="000000"/>
          <w:lang w:eastAsia="es-AR"/>
        </w:rPr>
        <w:t>inc.</w:t>
      </w:r>
      <w:proofErr w:type="gramEnd"/>
      <w:r w:rsidRPr="00803C4D">
        <w:rPr>
          <w:rFonts w:eastAsia="Times New Roman" w:cs="Times New Roman"/>
          <w:bCs/>
          <w:color w:val="000000"/>
          <w:lang w:eastAsia="es-AR"/>
        </w:rPr>
        <w:t xml:space="preserve"> II C.P.C.) </w:t>
      </w:r>
      <w:proofErr w:type="gramStart"/>
      <w:r w:rsidRPr="00803C4D">
        <w:rPr>
          <w:rFonts w:eastAsia="Times New Roman" w:cs="Times New Roman"/>
          <w:bCs/>
          <w:color w:val="000000"/>
          <w:lang w:eastAsia="es-AR"/>
        </w:rPr>
        <w:t>y</w:t>
      </w:r>
      <w:proofErr w:type="gramEnd"/>
      <w:r w:rsidRPr="00803C4D">
        <w:rPr>
          <w:rFonts w:eastAsia="Times New Roman" w:cs="Times New Roman"/>
          <w:bCs/>
          <w:color w:val="000000"/>
          <w:lang w:eastAsia="es-AR"/>
        </w:rPr>
        <w:t xml:space="preserve"> trajeron a deliberar para resolver en definitiva los autos Nº 89173, caratulados: "</w:t>
      </w:r>
      <w:r w:rsidR="00D67A0D">
        <w:rPr>
          <w:rFonts w:eastAsia="Times New Roman" w:cs="Times New Roman"/>
          <w:bCs/>
          <w:color w:val="000000"/>
          <w:lang w:eastAsia="es-AR"/>
        </w:rPr>
        <w:t>C.H.A.</w:t>
      </w:r>
      <w:r w:rsidRPr="00803C4D">
        <w:rPr>
          <w:rFonts w:eastAsia="Times New Roman" w:cs="Times New Roman"/>
          <w:bCs/>
          <w:color w:val="000000"/>
          <w:lang w:eastAsia="es-AR"/>
        </w:rPr>
        <w:t xml:space="preserve"> c/ </w:t>
      </w:r>
      <w:r w:rsidR="00D67A0D">
        <w:rPr>
          <w:rFonts w:eastAsia="Times New Roman" w:cs="Times New Roman"/>
          <w:bCs/>
          <w:color w:val="000000"/>
          <w:lang w:eastAsia="es-AR"/>
        </w:rPr>
        <w:t>N.C.</w:t>
      </w:r>
      <w:r w:rsidRPr="00803C4D">
        <w:rPr>
          <w:rFonts w:eastAsia="Times New Roman" w:cs="Times New Roman"/>
          <w:bCs/>
          <w:color w:val="000000"/>
          <w:lang w:eastAsia="es-AR"/>
        </w:rPr>
        <w:t xml:space="preserve"> p/ Desalojo", originarios del Octavo Juzgado Civil venidos a esta instancia en virtud del recurso de apelación interpuesto a fs. 52 por el demandado, en contra la sentencia de fs. 44/45.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Llegados los autos al Tribunal, a fs. 70/71 funda su recurso la demandada.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Practicado el sorteo de ley, queda establecido el siguiente orden de estudio: Dres. </w:t>
      </w:r>
      <w:proofErr w:type="spellStart"/>
      <w:r w:rsidRPr="00803C4D">
        <w:rPr>
          <w:rFonts w:eastAsia="Times New Roman" w:cs="Times New Roman"/>
          <w:bCs/>
          <w:color w:val="000000"/>
          <w:lang w:eastAsia="es-AR"/>
        </w:rPr>
        <w:t>Gianella</w:t>
      </w:r>
      <w:proofErr w:type="spellEnd"/>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Marsala</w:t>
      </w:r>
      <w:proofErr w:type="spellEnd"/>
      <w:r w:rsidRPr="00803C4D">
        <w:rPr>
          <w:rFonts w:eastAsia="Times New Roman" w:cs="Times New Roman"/>
          <w:bCs/>
          <w:color w:val="000000"/>
          <w:lang w:eastAsia="es-AR"/>
        </w:rPr>
        <w:t xml:space="preserve"> y </w:t>
      </w:r>
      <w:proofErr w:type="spellStart"/>
      <w:r w:rsidRPr="00803C4D">
        <w:rPr>
          <w:rFonts w:eastAsia="Times New Roman" w:cs="Times New Roman"/>
          <w:bCs/>
          <w:color w:val="000000"/>
          <w:lang w:eastAsia="es-AR"/>
        </w:rPr>
        <w:t>Furlotti</w:t>
      </w:r>
      <w:proofErr w:type="spellEnd"/>
      <w:r w:rsidRPr="00803C4D">
        <w:rPr>
          <w:rFonts w:eastAsia="Times New Roman" w:cs="Times New Roman"/>
          <w:bCs/>
          <w:color w:val="000000"/>
          <w:lang w:eastAsia="es-AR"/>
        </w:rPr>
        <w:t xml:space="preserv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cumplimiento de lo dispuesto por los arts. 160 de la Constitución Provincial y 141 del C.P.C., se plantean las siguientes cuestiones a resolver.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Primera cuestión: ¿Es justa la sentencia apelada?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Segunda cuestión: costas.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SOBRE LA PRIMERA CUESTIÓN EL DR. HORACIO GIANELLA DIJO: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 Se elevan estos autos a la alzada, en virtud del recurso de apelación interpuesto por la demandada, en contra de la sentencia que admitió la acción de desalojo promovida en autos, reguló honorarios de conformidad con el art. 10 L.A. e impuso costas a la vencida.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Para resolver de tal modo, el Sr. Juez a quo entendió que se dan todos los recaudos requeridos para la existencia del contrato de comodato y en virtud de éste, el Sr. C</w:t>
      </w:r>
      <w:r w:rsidR="00D67A0D">
        <w:rPr>
          <w:rFonts w:eastAsia="Times New Roman" w:cs="Times New Roman"/>
          <w:bCs/>
          <w:color w:val="000000"/>
          <w:lang w:eastAsia="es-AR"/>
        </w:rPr>
        <w:t>.</w:t>
      </w:r>
      <w:r w:rsidRPr="00803C4D">
        <w:rPr>
          <w:rFonts w:eastAsia="Times New Roman" w:cs="Times New Roman"/>
          <w:bCs/>
          <w:color w:val="000000"/>
          <w:lang w:eastAsia="es-AR"/>
        </w:rPr>
        <w:t xml:space="preserve"> y su hermana, hoy fallecida, otorgaron en préstamo gratuito al accionado el inmueble cuya restitución se persigue.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La falta de comparecencia de la demandada trae aparejada la consecuencia de tenerse por cierto los hechos invocados por el actor y por recibida la carta documento obrante a fs. 14, además de permitir dictar sentencia conforme a derecho sin más trámite en los casos de desalojo conforme los arts. 168 </w:t>
      </w:r>
      <w:proofErr w:type="gramStart"/>
      <w:r w:rsidRPr="00803C4D">
        <w:rPr>
          <w:rFonts w:eastAsia="Times New Roman" w:cs="Times New Roman"/>
          <w:bCs/>
          <w:color w:val="000000"/>
          <w:lang w:eastAsia="es-AR"/>
        </w:rPr>
        <w:t>inc.</w:t>
      </w:r>
      <w:proofErr w:type="gramEnd"/>
      <w:r w:rsidRPr="00803C4D">
        <w:rPr>
          <w:rFonts w:eastAsia="Times New Roman" w:cs="Times New Roman"/>
          <w:bCs/>
          <w:color w:val="000000"/>
          <w:lang w:eastAsia="es-AR"/>
        </w:rPr>
        <w:t xml:space="preserve"> 1 y 399 bis, ap. II, inc.6° del C.P.C.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Una de las obligaciones que pesan sobre el comodatario es la de restituir la cosa dada en comodato en el tiempo pactado. La falta de cumplimiento de esta obligación hace viable el requerimiento de desalojo solicitado por el accionante.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II- Al fundar el recurso refiere el apelante que según el art. 142 del C.P.C. corresponde determinar si el administrador ha sido autorizado por los herederos para representar a la sucesión en juicio. En caso de que así no sea debe el juez autorizar al administrador a estar en juicio en representación de la sucesión, cuando se trate de demandas iniciadas en ejercicio de sus facultades conservatorias del acervo hereditario.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lastRenderedPageBreak/>
        <w:t xml:space="preserve">Refiere que a fs. 29 se presenta el Sr. </w:t>
      </w:r>
      <w:r w:rsidR="00972A04">
        <w:rPr>
          <w:rFonts w:eastAsia="Times New Roman" w:cs="Times New Roman"/>
          <w:bCs/>
          <w:color w:val="000000"/>
          <w:lang w:eastAsia="es-AR"/>
        </w:rPr>
        <w:t xml:space="preserve">R. de F. </w:t>
      </w:r>
      <w:r w:rsidRPr="00803C4D">
        <w:rPr>
          <w:rFonts w:eastAsia="Times New Roman" w:cs="Times New Roman"/>
          <w:bCs/>
          <w:color w:val="000000"/>
          <w:lang w:eastAsia="es-AR"/>
        </w:rPr>
        <w:t xml:space="preserve"> </w:t>
      </w:r>
      <w:proofErr w:type="gramStart"/>
      <w:r w:rsidRPr="00803C4D">
        <w:rPr>
          <w:rFonts w:eastAsia="Times New Roman" w:cs="Times New Roman"/>
          <w:bCs/>
          <w:color w:val="000000"/>
          <w:lang w:eastAsia="es-AR"/>
        </w:rPr>
        <w:t>ratificando</w:t>
      </w:r>
      <w:proofErr w:type="gramEnd"/>
      <w:r w:rsidRPr="00803C4D">
        <w:rPr>
          <w:rFonts w:eastAsia="Times New Roman" w:cs="Times New Roman"/>
          <w:bCs/>
          <w:color w:val="000000"/>
          <w:lang w:eastAsia="es-AR"/>
        </w:rPr>
        <w:t xml:space="preserve"> demanda en calidad de administrador de la sucesión de la Sra. </w:t>
      </w:r>
      <w:r w:rsidR="00972A04">
        <w:rPr>
          <w:rFonts w:eastAsia="Times New Roman" w:cs="Times New Roman"/>
          <w:bCs/>
          <w:color w:val="000000"/>
          <w:lang w:eastAsia="es-AR"/>
        </w:rPr>
        <w:t>M.C. del C. C.</w:t>
      </w:r>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condómina</w:t>
      </w:r>
      <w:proofErr w:type="spellEnd"/>
      <w:r w:rsidRPr="00803C4D">
        <w:rPr>
          <w:rFonts w:eastAsia="Times New Roman" w:cs="Times New Roman"/>
          <w:bCs/>
          <w:color w:val="000000"/>
          <w:lang w:eastAsia="es-AR"/>
        </w:rPr>
        <w:t xml:space="preserve"> del inmueble objeto del desalojo pretendido, pero no acompañó la autorización requerida por el art. 342 del C.P.C.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Entiende que el juez de grado debió rechazar la demanda por falta de legitimación activa del heredero de la Sra. María Clara del Carmen </w:t>
      </w:r>
      <w:proofErr w:type="spellStart"/>
      <w:r w:rsidRPr="00803C4D">
        <w:rPr>
          <w:rFonts w:eastAsia="Times New Roman" w:cs="Times New Roman"/>
          <w:bCs/>
          <w:color w:val="000000"/>
          <w:lang w:eastAsia="es-AR"/>
        </w:rPr>
        <w:t>Carosella</w:t>
      </w:r>
      <w:proofErr w:type="spellEnd"/>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condómina</w:t>
      </w:r>
      <w:proofErr w:type="spellEnd"/>
      <w:r w:rsidRPr="00803C4D">
        <w:rPr>
          <w:rFonts w:eastAsia="Times New Roman" w:cs="Times New Roman"/>
          <w:bCs/>
          <w:color w:val="000000"/>
          <w:lang w:eastAsia="es-AR"/>
        </w:rPr>
        <w:t xml:space="preserve"> del inmueble, por no contar con la autorización del Juez de la Sucesión para demandar. Cita jurisprudencia.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III- Se adelanta el rechazo del recurso en trato en razón de las siguientes consideraciones.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primer lugar debe señalarse que este Tribunal en una oportunidad previa ha expresado: "La relevancia estructural que en el proceso tiene la legitimación, como presupuesto de la acción, no permite que el juez emita un pronunciamiento a favor o en contra de quien no es parte de la relación jurídica de fondo. Es que no es admisible que alguien se haga del crédito si no es su titular, y/o que, correlativamente, alguien satisfaga la obligación sin ser su </w:t>
      </w:r>
      <w:proofErr w:type="spellStart"/>
      <w:r w:rsidRPr="00803C4D">
        <w:rPr>
          <w:rFonts w:eastAsia="Times New Roman" w:cs="Times New Roman"/>
          <w:bCs/>
          <w:color w:val="000000"/>
          <w:lang w:eastAsia="es-AR"/>
        </w:rPr>
        <w:t>deudor.Por</w:t>
      </w:r>
      <w:proofErr w:type="spellEnd"/>
      <w:r w:rsidRPr="00803C4D">
        <w:rPr>
          <w:rFonts w:eastAsia="Times New Roman" w:cs="Times New Roman"/>
          <w:bCs/>
          <w:color w:val="000000"/>
          <w:lang w:eastAsia="es-AR"/>
        </w:rPr>
        <w:t xml:space="preserve"> tal razón, es que el juez puede declarar en una sentencia definitiva la inexistencia de legitimación para obrar, aún en el caso de que el demandado no haya opuesto tal defensa." (30520 ARCOS, ORLANDO BALBINO C/FEMENIA, ALFREDO P/SUMARIO, 04/04/06,L.S.111-131).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el sub-examine el Sr. </w:t>
      </w:r>
      <w:r w:rsidR="00D67A0D">
        <w:rPr>
          <w:rFonts w:eastAsia="Times New Roman" w:cs="Times New Roman"/>
          <w:bCs/>
          <w:color w:val="000000"/>
          <w:lang w:eastAsia="es-AR"/>
        </w:rPr>
        <w:t>R. de F.</w:t>
      </w:r>
      <w:r w:rsidRPr="00803C4D">
        <w:rPr>
          <w:rFonts w:eastAsia="Times New Roman" w:cs="Times New Roman"/>
          <w:bCs/>
          <w:color w:val="000000"/>
          <w:lang w:eastAsia="es-AR"/>
        </w:rPr>
        <w:t xml:space="preserve"> resulta legitimado para actuar en el proceso de desalojo en su carácter de administrador de </w:t>
      </w:r>
      <w:r w:rsidR="00D67A0D">
        <w:rPr>
          <w:rFonts w:eastAsia="Times New Roman" w:cs="Times New Roman"/>
          <w:bCs/>
          <w:color w:val="000000"/>
          <w:lang w:eastAsia="es-AR"/>
        </w:rPr>
        <w:t>M.C. del C. C.</w:t>
      </w:r>
      <w:r w:rsidRPr="00803C4D">
        <w:rPr>
          <w:rFonts w:eastAsia="Times New Roman" w:cs="Times New Roman"/>
          <w:bCs/>
          <w:color w:val="000000"/>
          <w:lang w:eastAsia="es-AR"/>
        </w:rPr>
        <w:t xml:space="preserve"> como veremos seguidamente.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Del análisis de las constancias de la causa surge que a fs. 20/21 el Sr. </w:t>
      </w:r>
      <w:r w:rsidR="00972A04">
        <w:rPr>
          <w:rFonts w:eastAsia="Times New Roman" w:cs="Times New Roman"/>
          <w:bCs/>
          <w:color w:val="000000"/>
          <w:lang w:eastAsia="es-AR"/>
        </w:rPr>
        <w:t>.H.A.C.</w:t>
      </w:r>
      <w:r w:rsidRPr="00803C4D">
        <w:rPr>
          <w:rFonts w:eastAsia="Times New Roman" w:cs="Times New Roman"/>
          <w:bCs/>
          <w:color w:val="000000"/>
          <w:lang w:eastAsia="es-AR"/>
        </w:rPr>
        <w:t xml:space="preserve"> inicia demanda de desalojo en contra del Sr. </w:t>
      </w:r>
      <w:r w:rsidR="00D67A0D">
        <w:rPr>
          <w:rFonts w:eastAsia="Times New Roman" w:cs="Times New Roman"/>
          <w:bCs/>
          <w:color w:val="000000"/>
          <w:lang w:eastAsia="es-AR"/>
        </w:rPr>
        <w:t>C.N.</w:t>
      </w:r>
      <w:r w:rsidRPr="00803C4D">
        <w:rPr>
          <w:rFonts w:eastAsia="Times New Roman" w:cs="Times New Roman"/>
          <w:bCs/>
          <w:color w:val="000000"/>
          <w:lang w:eastAsia="es-AR"/>
        </w:rPr>
        <w:t xml:space="preserve"> y/o cualquier otro ocupante del inmueble sito en </w:t>
      </w:r>
      <w:proofErr w:type="gramStart"/>
      <w:r w:rsidRPr="00803C4D">
        <w:rPr>
          <w:rFonts w:eastAsia="Times New Roman" w:cs="Times New Roman"/>
          <w:bCs/>
          <w:color w:val="000000"/>
          <w:lang w:eastAsia="es-AR"/>
        </w:rPr>
        <w:t xml:space="preserve">calle </w:t>
      </w:r>
      <w:r w:rsidR="00972A04">
        <w:rPr>
          <w:rFonts w:eastAsia="Times New Roman" w:cs="Times New Roman"/>
          <w:bCs/>
          <w:color w:val="000000"/>
          <w:lang w:eastAsia="es-AR"/>
        </w:rPr>
        <w:t>…</w:t>
      </w:r>
      <w:proofErr w:type="gramEnd"/>
      <w:r w:rsidR="00972A04">
        <w:rPr>
          <w:rFonts w:eastAsia="Times New Roman" w:cs="Times New Roman"/>
          <w:bCs/>
          <w:color w:val="000000"/>
          <w:lang w:eastAsia="es-AR"/>
        </w:rPr>
        <w:t>……</w:t>
      </w:r>
      <w:r w:rsidRPr="00803C4D">
        <w:rPr>
          <w:rFonts w:eastAsia="Times New Roman" w:cs="Times New Roman"/>
          <w:bCs/>
          <w:color w:val="000000"/>
          <w:lang w:eastAsia="es-AR"/>
        </w:rPr>
        <w:t xml:space="preserve">, en virtud del anticipo de herencia que efectuara la Sra. </w:t>
      </w:r>
      <w:r w:rsidR="00D67A0D">
        <w:rPr>
          <w:rFonts w:eastAsia="Times New Roman" w:cs="Times New Roman"/>
          <w:bCs/>
          <w:color w:val="000000"/>
          <w:lang w:eastAsia="es-AR"/>
        </w:rPr>
        <w:t xml:space="preserve">M.C.S.  </w:t>
      </w:r>
      <w:proofErr w:type="gramStart"/>
      <w:r w:rsidR="00D67A0D">
        <w:rPr>
          <w:rFonts w:eastAsia="Times New Roman" w:cs="Times New Roman"/>
          <w:bCs/>
          <w:color w:val="000000"/>
          <w:lang w:eastAsia="es-AR"/>
        </w:rPr>
        <w:t>de</w:t>
      </w:r>
      <w:proofErr w:type="gramEnd"/>
      <w:r w:rsidR="00D67A0D">
        <w:rPr>
          <w:rFonts w:eastAsia="Times New Roman" w:cs="Times New Roman"/>
          <w:bCs/>
          <w:color w:val="000000"/>
          <w:lang w:eastAsia="es-AR"/>
        </w:rPr>
        <w:t xml:space="preserve"> C.</w:t>
      </w:r>
      <w:r w:rsidRPr="00803C4D">
        <w:rPr>
          <w:rFonts w:eastAsia="Times New Roman" w:cs="Times New Roman"/>
          <w:bCs/>
          <w:color w:val="000000"/>
          <w:lang w:eastAsia="es-AR"/>
        </w:rPr>
        <w:t xml:space="preserv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Refiere al accionar el Sr. </w:t>
      </w:r>
      <w:r w:rsidR="00D67A0D">
        <w:rPr>
          <w:rFonts w:eastAsia="Times New Roman" w:cs="Times New Roman"/>
          <w:bCs/>
          <w:color w:val="000000"/>
          <w:lang w:eastAsia="es-AR"/>
        </w:rPr>
        <w:t>C.</w:t>
      </w:r>
      <w:r w:rsidR="00972A04">
        <w:rPr>
          <w:rFonts w:eastAsia="Times New Roman" w:cs="Times New Roman"/>
          <w:bCs/>
          <w:color w:val="000000"/>
          <w:lang w:eastAsia="es-AR"/>
        </w:rPr>
        <w:t xml:space="preserve"> </w:t>
      </w:r>
      <w:r w:rsidRPr="00803C4D">
        <w:rPr>
          <w:rFonts w:eastAsia="Times New Roman" w:cs="Times New Roman"/>
          <w:bCs/>
          <w:color w:val="000000"/>
          <w:lang w:eastAsia="es-AR"/>
        </w:rPr>
        <w:t xml:space="preserve">que los condóminos del inmueble en cuestión otorgaron en comodato el inmueble citado al Sr. </w:t>
      </w:r>
      <w:r w:rsidR="00D67A0D">
        <w:rPr>
          <w:rFonts w:eastAsia="Times New Roman" w:cs="Times New Roman"/>
          <w:bCs/>
          <w:color w:val="000000"/>
          <w:lang w:eastAsia="es-AR"/>
        </w:rPr>
        <w:t>N.</w:t>
      </w:r>
      <w:r w:rsidRPr="00803C4D">
        <w:rPr>
          <w:rFonts w:eastAsia="Times New Roman" w:cs="Times New Roman"/>
          <w:bCs/>
          <w:color w:val="000000"/>
          <w:lang w:eastAsia="es-AR"/>
        </w:rPr>
        <w:t xml:space="preserve"> desde el 1/9/97 hasta el 30/8/98.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A la vez, a fs. 29 el Sr. </w:t>
      </w:r>
      <w:r w:rsidR="00972A04">
        <w:rPr>
          <w:rFonts w:eastAsia="Times New Roman" w:cs="Times New Roman"/>
          <w:bCs/>
          <w:color w:val="000000"/>
          <w:lang w:eastAsia="es-AR"/>
        </w:rPr>
        <w:t xml:space="preserve">R. DE f. </w:t>
      </w:r>
      <w:r w:rsidRPr="00803C4D">
        <w:rPr>
          <w:rFonts w:eastAsia="Times New Roman" w:cs="Times New Roman"/>
          <w:bCs/>
          <w:color w:val="000000"/>
          <w:lang w:eastAsia="es-AR"/>
        </w:rPr>
        <w:t xml:space="preserve"> </w:t>
      </w:r>
      <w:proofErr w:type="gramStart"/>
      <w:r w:rsidRPr="00803C4D">
        <w:rPr>
          <w:rFonts w:eastAsia="Times New Roman" w:cs="Times New Roman"/>
          <w:bCs/>
          <w:color w:val="000000"/>
          <w:lang w:eastAsia="es-AR"/>
        </w:rPr>
        <w:t>aclara</w:t>
      </w:r>
      <w:proofErr w:type="gramEnd"/>
      <w:r w:rsidRPr="00803C4D">
        <w:rPr>
          <w:rFonts w:eastAsia="Times New Roman" w:cs="Times New Roman"/>
          <w:bCs/>
          <w:color w:val="000000"/>
          <w:lang w:eastAsia="es-AR"/>
        </w:rPr>
        <w:t xml:space="preserve"> que, en carácter de administrador de la sucesión de </w:t>
      </w:r>
      <w:r w:rsidR="00972A04">
        <w:rPr>
          <w:rFonts w:eastAsia="Times New Roman" w:cs="Times New Roman"/>
          <w:bCs/>
          <w:color w:val="000000"/>
          <w:lang w:eastAsia="es-AR"/>
        </w:rPr>
        <w:t>M.C. del C. C.</w:t>
      </w:r>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condómina</w:t>
      </w:r>
      <w:proofErr w:type="spellEnd"/>
      <w:r w:rsidRPr="00803C4D">
        <w:rPr>
          <w:rFonts w:eastAsia="Times New Roman" w:cs="Times New Roman"/>
          <w:bCs/>
          <w:color w:val="000000"/>
          <w:lang w:eastAsia="es-AR"/>
        </w:rPr>
        <w:t xml:space="preserve"> del inmueble cuyo desalojo se pretende, se presenta ratificando la demanda deducida. </w:t>
      </w:r>
    </w:p>
    <w:p w:rsidR="00803C4D" w:rsidRPr="00803C4D" w:rsidRDefault="00803C4D" w:rsidP="00803C4D">
      <w:pPr>
        <w:jc w:val="both"/>
        <w:rPr>
          <w:rFonts w:eastAsia="Times New Roman" w:cs="Times New Roman"/>
          <w:bCs/>
          <w:color w:val="000000"/>
          <w:lang w:eastAsia="es-AR"/>
        </w:rPr>
      </w:pPr>
      <w:proofErr w:type="spellStart"/>
      <w:r w:rsidRPr="00803C4D">
        <w:rPr>
          <w:rFonts w:eastAsia="Times New Roman" w:cs="Times New Roman"/>
          <w:bCs/>
          <w:color w:val="000000"/>
          <w:lang w:eastAsia="es-AR"/>
        </w:rPr>
        <w:t>Alí</w:t>
      </w:r>
      <w:proofErr w:type="spellEnd"/>
      <w:r w:rsidRPr="00803C4D">
        <w:rPr>
          <w:rFonts w:eastAsia="Times New Roman" w:cs="Times New Roman"/>
          <w:bCs/>
          <w:color w:val="000000"/>
          <w:lang w:eastAsia="es-AR"/>
        </w:rPr>
        <w:t xml:space="preserve"> Joaquín Salgado en "Locación, comodato y desalojo" en relación a la legitimación de los herederos expresa: "Si se encuentra inscripta la declaratoria de herederos, existe una indivisión hereditaria que hace aplicable lo establecido por el art. 3451 del Cód. Civil que acuerda a cada heredero la facultad de administrar sus intereses. ""Quien ha sido declarado heredero del propietario de un inmueble posee legitimación para demandar el desalojo, pues de conformidad con lo previsto en el art. 3415 del Cód. Civil ha sucedido al causante inmediatamente, sin ningún intervalo y con efecto retroactivo al día de su muerte."(</w:t>
      </w:r>
      <w:proofErr w:type="spellStart"/>
      <w:r w:rsidRPr="00803C4D">
        <w:rPr>
          <w:rFonts w:eastAsia="Times New Roman" w:cs="Times New Roman"/>
          <w:bCs/>
          <w:color w:val="000000"/>
          <w:lang w:eastAsia="es-AR"/>
        </w:rPr>
        <w:t>Rubinzal-Culzoni</w:t>
      </w:r>
      <w:proofErr w:type="spellEnd"/>
      <w:r w:rsidRPr="00803C4D">
        <w:rPr>
          <w:rFonts w:eastAsia="Times New Roman" w:cs="Times New Roman"/>
          <w:bCs/>
          <w:color w:val="000000"/>
          <w:lang w:eastAsia="es-AR"/>
        </w:rPr>
        <w:t xml:space="preserve">, 2010, pág.361). </w:t>
      </w:r>
    </w:p>
    <w:p w:rsidR="00803C4D" w:rsidRPr="00803C4D" w:rsidRDefault="00803C4D" w:rsidP="00803C4D">
      <w:pPr>
        <w:jc w:val="both"/>
        <w:rPr>
          <w:rFonts w:eastAsia="Times New Roman" w:cs="Times New Roman"/>
          <w:bCs/>
          <w:color w:val="000000"/>
          <w:lang w:eastAsia="es-AR"/>
        </w:rPr>
      </w:pP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lastRenderedPageBreak/>
        <w:t xml:space="preserve">Específicamente sobre las facultades del administrador se ha dicho que la legitimación del administrador para estar en juicio en representación de la sucesión resulta ser uno de los temas más conflictivos en cuanto a qué facultades posee.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Me enrolo en la postura que expresa que: "Dentro de nuestra doctrina, respecto a la legitimación activa, tenemos diferentes opiniones; así Pérez </w:t>
      </w:r>
      <w:proofErr w:type="spellStart"/>
      <w:r w:rsidRPr="00803C4D">
        <w:rPr>
          <w:rFonts w:eastAsia="Times New Roman" w:cs="Times New Roman"/>
          <w:bCs/>
          <w:color w:val="000000"/>
          <w:lang w:eastAsia="es-AR"/>
        </w:rPr>
        <w:t>Lasala</w:t>
      </w:r>
      <w:proofErr w:type="spellEnd"/>
      <w:r w:rsidRPr="00803C4D">
        <w:rPr>
          <w:rFonts w:eastAsia="Times New Roman" w:cs="Times New Roman"/>
          <w:bCs/>
          <w:color w:val="000000"/>
          <w:lang w:eastAsia="es-AR"/>
        </w:rPr>
        <w:t xml:space="preserve"> opina que el administrador de la sucesión tiene facultad para estar en juicio sin autorización de los herederos ni del juez, en representación de la sucesión, cuando se trate de demandas iniciadas en ejercicio de sus facultades conservatorias o de administración simple del acervo hereditario." (</w:t>
      </w:r>
      <w:proofErr w:type="gramStart"/>
      <w:r w:rsidRPr="00803C4D">
        <w:rPr>
          <w:rFonts w:eastAsia="Times New Roman" w:cs="Times New Roman"/>
          <w:bCs/>
          <w:color w:val="000000"/>
          <w:lang w:eastAsia="es-AR"/>
        </w:rPr>
        <w:t>de</w:t>
      </w:r>
      <w:proofErr w:type="gramEnd"/>
      <w:r w:rsidRPr="00803C4D">
        <w:rPr>
          <w:rFonts w:eastAsia="Times New Roman" w:cs="Times New Roman"/>
          <w:bCs/>
          <w:color w:val="000000"/>
          <w:lang w:eastAsia="es-AR"/>
        </w:rPr>
        <w:t xml:space="preserve"> la glosa del art. 342 del Código Procesal Civil de Mendoza, comentado, anotado y concordado con los Códigos Procesales de la Nación, San Juan y San Luis, coordinado por el Dr. Horacio c. </w:t>
      </w:r>
      <w:proofErr w:type="spellStart"/>
      <w:r w:rsidRPr="00803C4D">
        <w:rPr>
          <w:rFonts w:eastAsia="Times New Roman" w:cs="Times New Roman"/>
          <w:bCs/>
          <w:color w:val="000000"/>
          <w:lang w:eastAsia="es-AR"/>
        </w:rPr>
        <w:t>Gianella</w:t>
      </w:r>
      <w:proofErr w:type="spellEnd"/>
      <w:r w:rsidRPr="00803C4D">
        <w:rPr>
          <w:rFonts w:eastAsia="Times New Roman" w:cs="Times New Roman"/>
          <w:bCs/>
          <w:color w:val="000000"/>
          <w:lang w:eastAsia="es-AR"/>
        </w:rPr>
        <w:t xml:space="preserve">, pág. 1342).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"Del mismo modo, </w:t>
      </w:r>
      <w:proofErr w:type="spellStart"/>
      <w:r w:rsidRPr="00803C4D">
        <w:rPr>
          <w:rFonts w:eastAsia="Times New Roman" w:cs="Times New Roman"/>
          <w:bCs/>
          <w:color w:val="000000"/>
          <w:lang w:eastAsia="es-AR"/>
        </w:rPr>
        <w:t>Goyena</w:t>
      </w:r>
      <w:proofErr w:type="spellEnd"/>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Copello</w:t>
      </w:r>
      <w:proofErr w:type="spellEnd"/>
      <w:r w:rsidRPr="00803C4D">
        <w:rPr>
          <w:rFonts w:eastAsia="Times New Roman" w:cs="Times New Roman"/>
          <w:bCs/>
          <w:color w:val="000000"/>
          <w:lang w:eastAsia="es-AR"/>
        </w:rPr>
        <w:t xml:space="preserve"> entiende que entre las facultades del administra-</w:t>
      </w:r>
      <w:proofErr w:type="spellStart"/>
      <w:r w:rsidRPr="00803C4D">
        <w:rPr>
          <w:rFonts w:eastAsia="Times New Roman" w:cs="Times New Roman"/>
          <w:bCs/>
          <w:color w:val="000000"/>
          <w:lang w:eastAsia="es-AR"/>
        </w:rPr>
        <w:t>dor</w:t>
      </w:r>
      <w:proofErr w:type="spellEnd"/>
      <w:r w:rsidRPr="00803C4D">
        <w:rPr>
          <w:rFonts w:eastAsia="Times New Roman" w:cs="Times New Roman"/>
          <w:bCs/>
          <w:color w:val="000000"/>
          <w:lang w:eastAsia="es-AR"/>
        </w:rPr>
        <w:t xml:space="preserve"> se encuentran todos los actos judiciales consecuentes con la administración de los bienes, tales como entablar desalojos, consignación de alquileres, o aquellas que persigan la interrupción de prescripciones, pero necesitará la autorización judicial, o poder de todos los herederos, para iniciar o contestar demandas que no sean consecuencia de la administración que ejerce así como estar en juicio por los herederos, o por la sucesión cuando ésta aparece como actora o demandada o en demandas por daños y perjuicios, reivindicación, o reclamación de estado." (ob. </w:t>
      </w:r>
      <w:proofErr w:type="gramStart"/>
      <w:r w:rsidRPr="00803C4D">
        <w:rPr>
          <w:rFonts w:eastAsia="Times New Roman" w:cs="Times New Roman"/>
          <w:bCs/>
          <w:color w:val="000000"/>
          <w:lang w:eastAsia="es-AR"/>
        </w:rPr>
        <w:t>cit</w:t>
      </w:r>
      <w:proofErr w:type="gramEnd"/>
      <w:r w:rsidRPr="00803C4D">
        <w:rPr>
          <w:rFonts w:eastAsia="Times New Roman" w:cs="Times New Roman"/>
          <w:bCs/>
          <w:color w:val="000000"/>
          <w:lang w:eastAsia="es-AR"/>
        </w:rPr>
        <w:t xml:space="preserve">. pág. 1342).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igual sentido se ha pronunciado la Suprema Corte de Mendoza, al </w:t>
      </w:r>
      <w:proofErr w:type="spellStart"/>
      <w:r w:rsidRPr="00803C4D">
        <w:rPr>
          <w:rFonts w:eastAsia="Times New Roman" w:cs="Times New Roman"/>
          <w:bCs/>
          <w:color w:val="000000"/>
          <w:lang w:eastAsia="es-AR"/>
        </w:rPr>
        <w:t>decir:"Si</w:t>
      </w:r>
      <w:proofErr w:type="spellEnd"/>
      <w:r w:rsidRPr="00803C4D">
        <w:rPr>
          <w:rFonts w:eastAsia="Times New Roman" w:cs="Times New Roman"/>
          <w:bCs/>
          <w:color w:val="000000"/>
          <w:lang w:eastAsia="es-AR"/>
        </w:rPr>
        <w:t xml:space="preserve"> bien el artículo 342 del Código Procesal no exime en forma expresa y clara al administrador definitivo del sucesorio del requisito de contar con autorización expresa para promover acción de desalojo por falta de pago de inmuebles pertenecientes al sucesorio, debe interpretarse que tal autorización judicial no es necesaria, ni constituye motivo de carencia de legitimación sustancial activa, pues la referida acción exterioriza una forma de conservación del patrimonio de la sucesión ínsita en las facultades normales de administración." (</w:t>
      </w:r>
      <w:proofErr w:type="spellStart"/>
      <w:r w:rsidRPr="00803C4D">
        <w:rPr>
          <w:rFonts w:eastAsia="Times New Roman" w:cs="Times New Roman"/>
          <w:bCs/>
          <w:color w:val="000000"/>
          <w:lang w:eastAsia="es-AR"/>
        </w:rPr>
        <w:t>SCJMendoza</w:t>
      </w:r>
      <w:proofErr w:type="spellEnd"/>
      <w:r w:rsidRPr="00803C4D">
        <w:rPr>
          <w:rFonts w:eastAsia="Times New Roman" w:cs="Times New Roman"/>
          <w:bCs/>
          <w:color w:val="000000"/>
          <w:lang w:eastAsia="es-AR"/>
        </w:rPr>
        <w:t>, Sala 1°, 2/7/85, "</w:t>
      </w:r>
      <w:proofErr w:type="spellStart"/>
      <w:r w:rsidRPr="00803C4D">
        <w:rPr>
          <w:rFonts w:eastAsia="Times New Roman" w:cs="Times New Roman"/>
          <w:bCs/>
          <w:color w:val="000000"/>
          <w:lang w:eastAsia="es-AR"/>
        </w:rPr>
        <w:t>Privitera</w:t>
      </w:r>
      <w:proofErr w:type="spellEnd"/>
      <w:r w:rsidRPr="00803C4D">
        <w:rPr>
          <w:rFonts w:eastAsia="Times New Roman" w:cs="Times New Roman"/>
          <w:bCs/>
          <w:color w:val="000000"/>
          <w:lang w:eastAsia="es-AR"/>
        </w:rPr>
        <w:t xml:space="preserve"> Salvador en "Quirós José c/ </w:t>
      </w:r>
      <w:proofErr w:type="spellStart"/>
      <w:r w:rsidRPr="00803C4D">
        <w:rPr>
          <w:rFonts w:eastAsia="Times New Roman" w:cs="Times New Roman"/>
          <w:bCs/>
          <w:color w:val="000000"/>
          <w:lang w:eastAsia="es-AR"/>
        </w:rPr>
        <w:t>Privitera</w:t>
      </w:r>
      <w:proofErr w:type="spellEnd"/>
      <w:r w:rsidRPr="00803C4D">
        <w:rPr>
          <w:rFonts w:eastAsia="Times New Roman" w:cs="Times New Roman"/>
          <w:bCs/>
          <w:color w:val="000000"/>
          <w:lang w:eastAsia="es-AR"/>
        </w:rPr>
        <w:t xml:space="preserve"> Salvador p/ des.", ob. cit. pág. 1343).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También ha expresado la Primera Cámara Civil que: "El administrador de una </w:t>
      </w:r>
      <w:proofErr w:type="spellStart"/>
      <w:r w:rsidRPr="00803C4D">
        <w:rPr>
          <w:rFonts w:eastAsia="Times New Roman" w:cs="Times New Roman"/>
          <w:bCs/>
          <w:color w:val="000000"/>
          <w:lang w:eastAsia="es-AR"/>
        </w:rPr>
        <w:t>suce-sión</w:t>
      </w:r>
      <w:proofErr w:type="spellEnd"/>
      <w:r w:rsidRPr="00803C4D">
        <w:rPr>
          <w:rFonts w:eastAsia="Times New Roman" w:cs="Times New Roman"/>
          <w:bCs/>
          <w:color w:val="000000"/>
          <w:lang w:eastAsia="es-AR"/>
        </w:rPr>
        <w:t xml:space="preserve"> está legitimado para accionar por desalojo contra el inquilino, sin necesitar de autoriza-</w:t>
      </w:r>
      <w:proofErr w:type="spellStart"/>
      <w:r w:rsidRPr="00803C4D">
        <w:rPr>
          <w:rFonts w:eastAsia="Times New Roman" w:cs="Times New Roman"/>
          <w:bCs/>
          <w:color w:val="000000"/>
          <w:lang w:eastAsia="es-AR"/>
        </w:rPr>
        <w:t>ción</w:t>
      </w:r>
      <w:proofErr w:type="spellEnd"/>
      <w:r w:rsidRPr="00803C4D">
        <w:rPr>
          <w:rFonts w:eastAsia="Times New Roman" w:cs="Times New Roman"/>
          <w:bCs/>
          <w:color w:val="000000"/>
          <w:lang w:eastAsia="es-AR"/>
        </w:rPr>
        <w:t xml:space="preserve"> judicial para incoar la demanda porque existe una situación equivalente a un mandato concebido en términos generales."2/2/2001 "Amato María c/ de </w:t>
      </w:r>
      <w:proofErr w:type="spellStart"/>
      <w:r w:rsidRPr="00803C4D">
        <w:rPr>
          <w:rFonts w:eastAsia="Times New Roman" w:cs="Times New Roman"/>
          <w:bCs/>
          <w:color w:val="000000"/>
          <w:lang w:eastAsia="es-AR"/>
        </w:rPr>
        <w:t>Gennaro</w:t>
      </w:r>
      <w:proofErr w:type="spellEnd"/>
      <w:r w:rsidRPr="00803C4D">
        <w:rPr>
          <w:rFonts w:eastAsia="Times New Roman" w:cs="Times New Roman"/>
          <w:bCs/>
          <w:color w:val="000000"/>
          <w:lang w:eastAsia="es-AR"/>
        </w:rPr>
        <w:t xml:space="preserve"> Miguel A. (ob. cit. pág. 1343).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"Los herederos del propietario de un inmueble poseen legitimación para promover una acción desalojo contra un locatario, ya que la obligación de restituir la cosa arrendada tiene carácter indivisible, pudiendo cualquiera de ellos exigir el cumplimiento de la obligación, máxime cuando uno de los actores se presentó además en su carácter de administrador de la sucesión."</w:t>
      </w:r>
      <w:proofErr w:type="gramStart"/>
      <w:r w:rsidRPr="00803C4D">
        <w:rPr>
          <w:rFonts w:eastAsia="Times New Roman" w:cs="Times New Roman"/>
          <w:bCs/>
          <w:color w:val="000000"/>
          <w:lang w:eastAsia="es-AR"/>
        </w:rPr>
        <w:t>( Cámara</w:t>
      </w:r>
      <w:proofErr w:type="gramEnd"/>
      <w:r w:rsidRPr="00803C4D">
        <w:rPr>
          <w:rFonts w:eastAsia="Times New Roman" w:cs="Times New Roman"/>
          <w:bCs/>
          <w:color w:val="000000"/>
          <w:lang w:eastAsia="es-AR"/>
        </w:rPr>
        <w:t xml:space="preserve"> de Apelaciones en lo Civil y Comercial de 3a Nominación de Córdoba • Sucesión del Sr. Antonio </w:t>
      </w:r>
      <w:proofErr w:type="spellStart"/>
      <w:r w:rsidRPr="00803C4D">
        <w:rPr>
          <w:rFonts w:eastAsia="Times New Roman" w:cs="Times New Roman"/>
          <w:bCs/>
          <w:color w:val="000000"/>
          <w:lang w:eastAsia="es-AR"/>
        </w:rPr>
        <w:t>Andres</w:t>
      </w:r>
      <w:proofErr w:type="spellEnd"/>
      <w:r w:rsidRPr="00803C4D">
        <w:rPr>
          <w:rFonts w:eastAsia="Times New Roman" w:cs="Times New Roman"/>
          <w:bCs/>
          <w:color w:val="000000"/>
          <w:lang w:eastAsia="es-AR"/>
        </w:rPr>
        <w:t xml:space="preserve"> Toledo c. Gamba, </w:t>
      </w:r>
      <w:proofErr w:type="spellStart"/>
      <w:r w:rsidRPr="00803C4D">
        <w:rPr>
          <w:rFonts w:eastAsia="Times New Roman" w:cs="Times New Roman"/>
          <w:bCs/>
          <w:color w:val="000000"/>
          <w:lang w:eastAsia="es-AR"/>
        </w:rPr>
        <w:t>Hector</w:t>
      </w:r>
      <w:proofErr w:type="spellEnd"/>
      <w:r w:rsidRPr="00803C4D">
        <w:rPr>
          <w:rFonts w:eastAsia="Times New Roman" w:cs="Times New Roman"/>
          <w:bCs/>
          <w:color w:val="000000"/>
          <w:lang w:eastAsia="es-AR"/>
        </w:rPr>
        <w:t xml:space="preserve"> </w:t>
      </w:r>
      <w:proofErr w:type="spellStart"/>
      <w:r w:rsidRPr="00803C4D">
        <w:rPr>
          <w:rFonts w:eastAsia="Times New Roman" w:cs="Times New Roman"/>
          <w:bCs/>
          <w:color w:val="000000"/>
          <w:lang w:eastAsia="es-AR"/>
        </w:rPr>
        <w:t>Raul</w:t>
      </w:r>
      <w:proofErr w:type="spellEnd"/>
      <w:r w:rsidRPr="00803C4D">
        <w:rPr>
          <w:rFonts w:eastAsia="Times New Roman" w:cs="Times New Roman"/>
          <w:bCs/>
          <w:color w:val="000000"/>
          <w:lang w:eastAsia="es-AR"/>
        </w:rPr>
        <w:t xml:space="preserve"> • 31/07/2008 • La Ley Online • AR/JUR/7422/2008).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Aplicando todo lo expresado al sub-examine se estima entonces que el Sr. </w:t>
      </w:r>
      <w:r w:rsidR="00972A04">
        <w:rPr>
          <w:rFonts w:eastAsia="Times New Roman" w:cs="Times New Roman"/>
          <w:bCs/>
          <w:color w:val="000000"/>
          <w:lang w:eastAsia="es-AR"/>
        </w:rPr>
        <w:t>R. de F.</w:t>
      </w:r>
      <w:r w:rsidRPr="00803C4D">
        <w:rPr>
          <w:rFonts w:eastAsia="Times New Roman" w:cs="Times New Roman"/>
          <w:bCs/>
          <w:color w:val="000000"/>
          <w:lang w:eastAsia="es-AR"/>
        </w:rPr>
        <w:t xml:space="preserve">, administrador de la sucesión de </w:t>
      </w:r>
      <w:r w:rsidR="00972A04">
        <w:rPr>
          <w:rFonts w:eastAsia="Times New Roman" w:cs="Times New Roman"/>
          <w:bCs/>
          <w:color w:val="000000"/>
          <w:lang w:eastAsia="es-AR"/>
        </w:rPr>
        <w:t>M.C. del C. C.</w:t>
      </w:r>
      <w:r w:rsidRPr="00803C4D">
        <w:rPr>
          <w:rFonts w:eastAsia="Times New Roman" w:cs="Times New Roman"/>
          <w:bCs/>
          <w:color w:val="000000"/>
          <w:lang w:eastAsia="es-AR"/>
        </w:rPr>
        <w:t xml:space="preserve"> se encuentra legitimado para accionar en ese carácter, sin necesidad de autorización judicial.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lastRenderedPageBreak/>
        <w:t>A mayor abundamiento, resulta necesario destacar que el Sr. de F</w:t>
      </w:r>
      <w:r w:rsidR="00972A04">
        <w:rPr>
          <w:rFonts w:eastAsia="Times New Roman" w:cs="Times New Roman"/>
          <w:bCs/>
          <w:color w:val="000000"/>
          <w:lang w:eastAsia="es-AR"/>
        </w:rPr>
        <w:t xml:space="preserve">. </w:t>
      </w:r>
      <w:r w:rsidRPr="00803C4D">
        <w:rPr>
          <w:rFonts w:eastAsia="Times New Roman" w:cs="Times New Roman"/>
          <w:bCs/>
          <w:color w:val="000000"/>
          <w:lang w:eastAsia="es-AR"/>
        </w:rPr>
        <w:t xml:space="preserve"> </w:t>
      </w:r>
      <w:proofErr w:type="gramStart"/>
      <w:r w:rsidRPr="00803C4D">
        <w:rPr>
          <w:rFonts w:eastAsia="Times New Roman" w:cs="Times New Roman"/>
          <w:bCs/>
          <w:color w:val="000000"/>
          <w:lang w:eastAsia="es-AR"/>
        </w:rPr>
        <w:t>es</w:t>
      </w:r>
      <w:proofErr w:type="gramEnd"/>
      <w:r w:rsidRPr="00803C4D">
        <w:rPr>
          <w:rFonts w:eastAsia="Times New Roman" w:cs="Times New Roman"/>
          <w:bCs/>
          <w:color w:val="000000"/>
          <w:lang w:eastAsia="es-AR"/>
        </w:rPr>
        <w:t xml:space="preserve"> el único heredero de la Sra. C</w:t>
      </w:r>
      <w:r w:rsidR="00972A04">
        <w:rPr>
          <w:rFonts w:eastAsia="Times New Roman" w:cs="Times New Roman"/>
          <w:bCs/>
          <w:color w:val="000000"/>
          <w:lang w:eastAsia="es-AR"/>
        </w:rPr>
        <w:t>.</w:t>
      </w:r>
      <w:bookmarkStart w:id="0" w:name="_GoBack"/>
      <w:bookmarkEnd w:id="0"/>
      <w:r w:rsidRPr="00803C4D">
        <w:rPr>
          <w:rFonts w:eastAsia="Times New Roman" w:cs="Times New Roman"/>
          <w:bCs/>
          <w:color w:val="000000"/>
          <w:lang w:eastAsia="es-AR"/>
        </w:rPr>
        <w:t xml:space="preserve">, según surge de la declaratoria obrante a fs.9 de autos, lo que imposibilita cualquier eventual planteo de restantes herederos.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En virtud de lo expuesto, el recurso de apelación debe ser desestimado, confirmándose la resolución dictada en primera instancia. Así voto.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Las Dras. </w:t>
      </w:r>
      <w:proofErr w:type="spellStart"/>
      <w:r w:rsidRPr="00803C4D">
        <w:rPr>
          <w:rFonts w:eastAsia="Times New Roman" w:cs="Times New Roman"/>
          <w:bCs/>
          <w:color w:val="000000"/>
          <w:lang w:eastAsia="es-AR"/>
        </w:rPr>
        <w:t>Furlotti</w:t>
      </w:r>
      <w:proofErr w:type="spellEnd"/>
      <w:r w:rsidRPr="00803C4D">
        <w:rPr>
          <w:rFonts w:eastAsia="Times New Roman" w:cs="Times New Roman"/>
          <w:bCs/>
          <w:color w:val="000000"/>
          <w:lang w:eastAsia="es-AR"/>
        </w:rPr>
        <w:t xml:space="preserve"> y </w:t>
      </w:r>
      <w:proofErr w:type="spellStart"/>
      <w:r w:rsidRPr="00803C4D">
        <w:rPr>
          <w:rFonts w:eastAsia="Times New Roman" w:cs="Times New Roman"/>
          <w:bCs/>
          <w:color w:val="000000"/>
          <w:lang w:eastAsia="es-AR"/>
        </w:rPr>
        <w:t>Marsala</w:t>
      </w:r>
      <w:proofErr w:type="spellEnd"/>
      <w:r w:rsidRPr="00803C4D">
        <w:rPr>
          <w:rFonts w:eastAsia="Times New Roman" w:cs="Times New Roman"/>
          <w:bCs/>
          <w:color w:val="000000"/>
          <w:lang w:eastAsia="es-AR"/>
        </w:rPr>
        <w:t xml:space="preserve"> adhieren, por sus fundamentos, al voto que antecede.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SOBRE LA SEGUNDA CUESTIÓN EL DR. HORACIO GIANELLA DIJO: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Las costas se imponen a la parte apelante vencida. (</w:t>
      </w:r>
      <w:proofErr w:type="gramStart"/>
      <w:r w:rsidRPr="00803C4D">
        <w:rPr>
          <w:rFonts w:eastAsia="Times New Roman" w:cs="Times New Roman"/>
          <w:bCs/>
          <w:color w:val="000000"/>
          <w:lang w:eastAsia="es-AR"/>
        </w:rPr>
        <w:t>art</w:t>
      </w:r>
      <w:proofErr w:type="gramEnd"/>
      <w:r w:rsidRPr="00803C4D">
        <w:rPr>
          <w:rFonts w:eastAsia="Times New Roman" w:cs="Times New Roman"/>
          <w:bCs/>
          <w:color w:val="000000"/>
          <w:lang w:eastAsia="es-AR"/>
        </w:rPr>
        <w:t xml:space="preserve">. 35 y 36 C.P.C.). Así voto.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Las Dras. </w:t>
      </w:r>
      <w:proofErr w:type="spellStart"/>
      <w:r w:rsidRPr="00803C4D">
        <w:rPr>
          <w:rFonts w:eastAsia="Times New Roman" w:cs="Times New Roman"/>
          <w:bCs/>
          <w:color w:val="000000"/>
          <w:lang w:eastAsia="es-AR"/>
        </w:rPr>
        <w:t>Furlotti</w:t>
      </w:r>
      <w:proofErr w:type="spellEnd"/>
      <w:r w:rsidRPr="00803C4D">
        <w:rPr>
          <w:rFonts w:eastAsia="Times New Roman" w:cs="Times New Roman"/>
          <w:bCs/>
          <w:color w:val="000000"/>
          <w:lang w:eastAsia="es-AR"/>
        </w:rPr>
        <w:t xml:space="preserve"> y </w:t>
      </w:r>
      <w:proofErr w:type="spellStart"/>
      <w:r w:rsidRPr="00803C4D">
        <w:rPr>
          <w:rFonts w:eastAsia="Times New Roman" w:cs="Times New Roman"/>
          <w:bCs/>
          <w:color w:val="000000"/>
          <w:lang w:eastAsia="es-AR"/>
        </w:rPr>
        <w:t>Marsala</w:t>
      </w:r>
      <w:proofErr w:type="spellEnd"/>
      <w:r w:rsidRPr="00803C4D">
        <w:rPr>
          <w:rFonts w:eastAsia="Times New Roman" w:cs="Times New Roman"/>
          <w:bCs/>
          <w:color w:val="000000"/>
          <w:lang w:eastAsia="es-AR"/>
        </w:rPr>
        <w:t xml:space="preserve"> adhieren, por sus fundamentos, al voto que antecede.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Con lo que se dio por concluido el presente acuerdo dictándose sentencia, la que en su parte </w:t>
      </w:r>
      <w:proofErr w:type="spellStart"/>
      <w:r w:rsidRPr="00803C4D">
        <w:rPr>
          <w:rFonts w:eastAsia="Times New Roman" w:cs="Times New Roman"/>
          <w:bCs/>
          <w:color w:val="000000"/>
          <w:lang w:eastAsia="es-AR"/>
        </w:rPr>
        <w:t>esolutivo</w:t>
      </w:r>
      <w:proofErr w:type="spellEnd"/>
      <w:r w:rsidRPr="00803C4D">
        <w:rPr>
          <w:rFonts w:eastAsia="Times New Roman" w:cs="Times New Roman"/>
          <w:bCs/>
          <w:color w:val="000000"/>
          <w:lang w:eastAsia="es-AR"/>
        </w:rPr>
        <w:t xml:space="preserve"> dice así: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SENTENCIA: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Mendoza, 22 de agosto de 2013.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Y VISTOS: en virtud del acuerdo precedente, el Tribunal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RESUELV E: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 Rechazar el recurso de apelación interpuesto por la parte demandada contra la sentencia dictada a fs. 44/45 la que se confirma en todas sus partes.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II- Imponer las costas a la recurrente vencida (arts. 35 y 36 C.P.C.).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III- Regular los honorarios profesionales de los </w:t>
      </w:r>
      <w:proofErr w:type="spellStart"/>
      <w:r w:rsidRPr="00803C4D">
        <w:rPr>
          <w:rFonts w:eastAsia="Times New Roman" w:cs="Times New Roman"/>
          <w:bCs/>
          <w:color w:val="000000"/>
          <w:lang w:eastAsia="es-AR"/>
        </w:rPr>
        <w:t>Drs</w:t>
      </w:r>
      <w:proofErr w:type="spellEnd"/>
      <w:r w:rsidRPr="00803C4D">
        <w:rPr>
          <w:rFonts w:eastAsia="Times New Roman" w:cs="Times New Roman"/>
          <w:bCs/>
          <w:color w:val="000000"/>
          <w:lang w:eastAsia="es-AR"/>
        </w:rPr>
        <w:t xml:space="preserve">. Daniel </w:t>
      </w:r>
      <w:proofErr w:type="spellStart"/>
      <w:r w:rsidRPr="00803C4D">
        <w:rPr>
          <w:rFonts w:eastAsia="Times New Roman" w:cs="Times New Roman"/>
          <w:bCs/>
          <w:color w:val="000000"/>
          <w:lang w:eastAsia="es-AR"/>
        </w:rPr>
        <w:t>Scaloni</w:t>
      </w:r>
      <w:proofErr w:type="spellEnd"/>
      <w:r w:rsidRPr="00803C4D">
        <w:rPr>
          <w:rFonts w:eastAsia="Times New Roman" w:cs="Times New Roman"/>
          <w:bCs/>
          <w:color w:val="000000"/>
          <w:lang w:eastAsia="es-AR"/>
        </w:rPr>
        <w:t xml:space="preserve"> y Sandra </w:t>
      </w:r>
      <w:proofErr w:type="spellStart"/>
      <w:r w:rsidRPr="00803C4D">
        <w:rPr>
          <w:rFonts w:eastAsia="Times New Roman" w:cs="Times New Roman"/>
          <w:bCs/>
          <w:color w:val="000000"/>
          <w:lang w:eastAsia="es-AR"/>
        </w:rPr>
        <w:t>Carletti</w:t>
      </w:r>
      <w:proofErr w:type="spellEnd"/>
      <w:r w:rsidRPr="00803C4D">
        <w:rPr>
          <w:rFonts w:eastAsia="Times New Roman" w:cs="Times New Roman"/>
          <w:bCs/>
          <w:color w:val="000000"/>
          <w:lang w:eastAsia="es-AR"/>
        </w:rPr>
        <w:t xml:space="preserve"> en las sumas de </w:t>
      </w:r>
      <w:proofErr w:type="gramStart"/>
      <w:r w:rsidRPr="00803C4D">
        <w:rPr>
          <w:rFonts w:eastAsia="Times New Roman" w:cs="Times New Roman"/>
          <w:bCs/>
          <w:color w:val="000000"/>
          <w:lang w:eastAsia="es-AR"/>
        </w:rPr>
        <w:t>pesos .</w:t>
      </w:r>
      <w:proofErr w:type="gramEnd"/>
      <w:r w:rsidRPr="00803C4D">
        <w:rPr>
          <w:rFonts w:eastAsia="Times New Roman" w:cs="Times New Roman"/>
          <w:bCs/>
          <w:color w:val="000000"/>
          <w:lang w:eastAsia="es-AR"/>
        </w:rPr>
        <w:t xml:space="preserve"> ($ .) </w:t>
      </w:r>
      <w:proofErr w:type="gramStart"/>
      <w:r w:rsidRPr="00803C4D">
        <w:rPr>
          <w:rFonts w:eastAsia="Times New Roman" w:cs="Times New Roman"/>
          <w:bCs/>
          <w:color w:val="000000"/>
          <w:lang w:eastAsia="es-AR"/>
        </w:rPr>
        <w:t>y</w:t>
      </w:r>
      <w:proofErr w:type="gramEnd"/>
      <w:r w:rsidRPr="00803C4D">
        <w:rPr>
          <w:rFonts w:eastAsia="Times New Roman" w:cs="Times New Roman"/>
          <w:bCs/>
          <w:color w:val="000000"/>
          <w:lang w:eastAsia="es-AR"/>
        </w:rPr>
        <w:t xml:space="preserve"> pesos . ($.). Arts. 10 y 15 ley arancelaria. </w:t>
      </w:r>
    </w:p>
    <w:p w:rsidR="00803C4D" w:rsidRP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NOTIFIQUESE Y BAJEN. </w:t>
      </w:r>
    </w:p>
    <w:p w:rsidR="00803C4D" w:rsidRDefault="00803C4D" w:rsidP="00803C4D">
      <w:pPr>
        <w:jc w:val="both"/>
        <w:rPr>
          <w:rFonts w:eastAsia="Times New Roman" w:cs="Times New Roman"/>
          <w:bCs/>
          <w:color w:val="000000"/>
          <w:lang w:eastAsia="es-AR"/>
        </w:rPr>
      </w:pPr>
      <w:r w:rsidRPr="00803C4D">
        <w:rPr>
          <w:rFonts w:eastAsia="Times New Roman" w:cs="Times New Roman"/>
          <w:bCs/>
          <w:color w:val="000000"/>
          <w:lang w:eastAsia="es-AR"/>
        </w:rPr>
        <w:t xml:space="preserve">Dr. Horacio Carlos GIANELLA </w:t>
      </w:r>
    </w:p>
    <w:p w:rsidR="00FD2689" w:rsidRPr="00803C4D" w:rsidRDefault="00803C4D" w:rsidP="00803C4D">
      <w:pPr>
        <w:jc w:val="both"/>
      </w:pPr>
      <w:r w:rsidRPr="00803C4D">
        <w:rPr>
          <w:rFonts w:eastAsia="Times New Roman" w:cs="Times New Roman"/>
          <w:bCs/>
          <w:color w:val="000000"/>
          <w:lang w:eastAsia="es-AR"/>
        </w:rPr>
        <w:t>Dra. Silvina Del Carmen FURLOTTI</w:t>
      </w:r>
    </w:p>
    <w:sectPr w:rsidR="00FD2689" w:rsidRPr="00803C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4D"/>
    <w:rsid w:val="0003484C"/>
    <w:rsid w:val="00803C4D"/>
    <w:rsid w:val="00972A04"/>
    <w:rsid w:val="00D67A0D"/>
    <w:rsid w:val="00FD26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0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0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043">
      <w:bodyDiv w:val="1"/>
      <w:marLeft w:val="0"/>
      <w:marRight w:val="0"/>
      <w:marTop w:val="0"/>
      <w:marBottom w:val="0"/>
      <w:divBdr>
        <w:top w:val="none" w:sz="0" w:space="0" w:color="auto"/>
        <w:left w:val="none" w:sz="0" w:space="0" w:color="auto"/>
        <w:bottom w:val="none" w:sz="0" w:space="0" w:color="auto"/>
        <w:right w:val="none" w:sz="0" w:space="0" w:color="auto"/>
      </w:divBdr>
      <w:divsChild>
        <w:div w:id="4522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2013-10-11T12:34:00Z</dcterms:created>
  <dcterms:modified xsi:type="dcterms:W3CDTF">2013-10-11T13:48:00Z</dcterms:modified>
</cp:coreProperties>
</file>