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8824AB">
      <w:pPr>
        <w:spacing w:line="0" w:lineRule="atLeast"/>
        <w:ind w:left="440"/>
        <w:rPr>
          <w:sz w:val="24"/>
        </w:rPr>
      </w:pPr>
      <w:bookmarkStart w:id="0" w:name="page1"/>
      <w:bookmarkEnd w:id="0"/>
      <w:r>
        <w:rPr>
          <w:sz w:val="24"/>
        </w:rPr>
        <w:t>Año del Bicentenario de la Declaración de la Independencia Nacional</w:t>
      </w:r>
    </w:p>
    <w:p w:rsidR="00000000" w:rsidRDefault="002D0F24">
      <w:pPr>
        <w:spacing w:line="200" w:lineRule="exact"/>
        <w:rPr>
          <w:rFonts w:ascii="Times New Roman" w:eastAsia="Times New Roman" w:hAnsi="Times New Roman"/>
          <w:sz w:val="24"/>
        </w:rPr>
      </w:pPr>
      <w:r>
        <w:rPr>
          <w:noProof/>
          <w:sz w:val="24"/>
        </w:rPr>
        <w:drawing>
          <wp:anchor distT="0" distB="0" distL="114300" distR="114300" simplePos="0" relativeHeight="251627520" behindDoc="1" locked="0" layoutInCell="0" allowOverlap="1">
            <wp:simplePos x="0" y="0"/>
            <wp:positionH relativeFrom="column">
              <wp:posOffset>2213610</wp:posOffset>
            </wp:positionH>
            <wp:positionV relativeFrom="paragraph">
              <wp:posOffset>50800</wp:posOffset>
            </wp:positionV>
            <wp:extent cx="374650" cy="575945"/>
            <wp:effectExtent l="19050" t="0" r="635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74650" cy="575945"/>
                    </a:xfrm>
                    <a:prstGeom prst="rect">
                      <a:avLst/>
                    </a:prstGeom>
                    <a:noFill/>
                  </pic:spPr>
                </pic:pic>
              </a:graphicData>
            </a:graphic>
          </wp:anchor>
        </w:drawing>
      </w:r>
    </w:p>
    <w:p w:rsidR="00000000" w:rsidRDefault="008824AB">
      <w:pPr>
        <w:spacing w:line="200" w:lineRule="exact"/>
        <w:rPr>
          <w:rFonts w:ascii="Times New Roman" w:eastAsia="Times New Roman" w:hAnsi="Times New Roman"/>
          <w:sz w:val="24"/>
        </w:rPr>
      </w:pPr>
    </w:p>
    <w:p w:rsidR="00000000" w:rsidRDefault="008824AB">
      <w:pPr>
        <w:spacing w:line="200" w:lineRule="exact"/>
        <w:rPr>
          <w:rFonts w:ascii="Times New Roman" w:eastAsia="Times New Roman" w:hAnsi="Times New Roman"/>
          <w:sz w:val="24"/>
        </w:rPr>
      </w:pPr>
    </w:p>
    <w:p w:rsidR="00000000" w:rsidRDefault="008824AB">
      <w:pPr>
        <w:spacing w:line="200" w:lineRule="exact"/>
        <w:rPr>
          <w:rFonts w:ascii="Times New Roman" w:eastAsia="Times New Roman" w:hAnsi="Times New Roman"/>
          <w:sz w:val="24"/>
        </w:rPr>
      </w:pPr>
    </w:p>
    <w:p w:rsidR="00000000" w:rsidRDefault="008824AB">
      <w:pPr>
        <w:spacing w:line="245" w:lineRule="exact"/>
        <w:rPr>
          <w:rFonts w:ascii="Times New Roman" w:eastAsia="Times New Roman" w:hAnsi="Times New Roman"/>
          <w:sz w:val="24"/>
        </w:rPr>
      </w:pPr>
    </w:p>
    <w:p w:rsidR="00000000" w:rsidRDefault="008824AB">
      <w:pPr>
        <w:spacing w:line="0" w:lineRule="atLeast"/>
        <w:ind w:left="2240"/>
        <w:rPr>
          <w:rFonts w:ascii="Times New Roman" w:eastAsia="Times New Roman" w:hAnsi="Times New Roman"/>
          <w:sz w:val="28"/>
        </w:rPr>
      </w:pPr>
      <w:r>
        <w:rPr>
          <w:rFonts w:ascii="Times New Roman" w:eastAsia="Times New Roman" w:hAnsi="Times New Roman"/>
          <w:sz w:val="28"/>
        </w:rPr>
        <w:t>Poder Judicial de la Nación</w:t>
      </w:r>
    </w:p>
    <w:p w:rsidR="00000000" w:rsidRDefault="008824AB">
      <w:pPr>
        <w:spacing w:line="129" w:lineRule="exact"/>
        <w:rPr>
          <w:rFonts w:ascii="Times New Roman" w:eastAsia="Times New Roman" w:hAnsi="Times New Roman"/>
          <w:sz w:val="24"/>
        </w:rPr>
      </w:pPr>
    </w:p>
    <w:p w:rsidR="00000000" w:rsidRDefault="008824AB">
      <w:pPr>
        <w:spacing w:line="239" w:lineRule="auto"/>
        <w:ind w:left="2680"/>
        <w:rPr>
          <w:rFonts w:ascii="Times New Roman" w:eastAsia="Times New Roman" w:hAnsi="Times New Roman"/>
          <w:sz w:val="18"/>
        </w:rPr>
      </w:pPr>
      <w:r>
        <w:rPr>
          <w:rFonts w:ascii="Times New Roman" w:eastAsia="Times New Roman" w:hAnsi="Times New Roman"/>
          <w:sz w:val="18"/>
        </w:rPr>
        <w:t>CAMARA CRIMINAL Y CORRECCIONAL FEDERAL - SALA 2</w:t>
      </w:r>
    </w:p>
    <w:p w:rsidR="00000000" w:rsidRDefault="008824AB">
      <w:pPr>
        <w:spacing w:line="239" w:lineRule="auto"/>
        <w:ind w:left="5740"/>
        <w:rPr>
          <w:rFonts w:ascii="Times New Roman" w:eastAsia="Times New Roman" w:hAnsi="Times New Roman"/>
          <w:sz w:val="18"/>
        </w:rPr>
      </w:pPr>
      <w:r>
        <w:rPr>
          <w:rFonts w:ascii="Times New Roman" w:eastAsia="Times New Roman" w:hAnsi="Times New Roman"/>
          <w:sz w:val="18"/>
        </w:rPr>
        <w:t>CFP 12152/2015/27/CA5</w:t>
      </w:r>
    </w:p>
    <w:p w:rsidR="00000000" w:rsidRDefault="008824AB">
      <w:pPr>
        <w:spacing w:line="200" w:lineRule="exact"/>
        <w:rPr>
          <w:rFonts w:ascii="Times New Roman" w:eastAsia="Times New Roman" w:hAnsi="Times New Roman"/>
          <w:sz w:val="24"/>
        </w:rPr>
      </w:pPr>
    </w:p>
    <w:p w:rsidR="00000000" w:rsidRDefault="008824AB">
      <w:pPr>
        <w:spacing w:line="200" w:lineRule="exact"/>
        <w:rPr>
          <w:rFonts w:ascii="Times New Roman" w:eastAsia="Times New Roman" w:hAnsi="Times New Roman"/>
          <w:sz w:val="24"/>
        </w:rPr>
      </w:pPr>
    </w:p>
    <w:p w:rsidR="00000000" w:rsidRDefault="008824AB">
      <w:pPr>
        <w:spacing w:line="400" w:lineRule="exact"/>
        <w:rPr>
          <w:rFonts w:ascii="Times New Roman" w:eastAsia="Times New Roman" w:hAnsi="Times New Roman"/>
          <w:sz w:val="24"/>
        </w:rPr>
      </w:pPr>
    </w:p>
    <w:p w:rsidR="00000000" w:rsidRDefault="008824AB">
      <w:pPr>
        <w:spacing w:line="0" w:lineRule="atLeast"/>
        <w:ind w:left="3540"/>
        <w:rPr>
          <w:rFonts w:ascii="Times New Roman" w:eastAsia="Times New Roman" w:hAnsi="Times New Roman"/>
          <w:b/>
          <w:sz w:val="24"/>
        </w:rPr>
      </w:pPr>
      <w:r>
        <w:rPr>
          <w:rFonts w:ascii="Times New Roman" w:eastAsia="Times New Roman" w:hAnsi="Times New Roman"/>
          <w:b/>
          <w:sz w:val="24"/>
        </w:rPr>
        <w:t>Sala II - CFP 12152/2015/27/CA5</w:t>
      </w:r>
    </w:p>
    <w:p w:rsidR="00000000" w:rsidRDefault="008824AB">
      <w:pPr>
        <w:spacing w:line="139" w:lineRule="exact"/>
        <w:rPr>
          <w:rFonts w:ascii="Times New Roman" w:eastAsia="Times New Roman" w:hAnsi="Times New Roman"/>
          <w:sz w:val="24"/>
        </w:rPr>
      </w:pPr>
    </w:p>
    <w:p w:rsidR="00000000" w:rsidRDefault="008824AB">
      <w:pPr>
        <w:tabs>
          <w:tab w:val="left" w:pos="4740"/>
          <w:tab w:val="left" w:pos="5800"/>
          <w:tab w:val="left" w:pos="6500"/>
          <w:tab w:val="left" w:pos="7040"/>
        </w:tabs>
        <w:spacing w:line="0" w:lineRule="atLeast"/>
        <w:ind w:left="2820"/>
        <w:rPr>
          <w:rFonts w:ascii="Times New Roman" w:eastAsia="Times New Roman" w:hAnsi="Times New Roman"/>
          <w:b/>
          <w:sz w:val="24"/>
        </w:rPr>
      </w:pPr>
      <w:r>
        <w:rPr>
          <w:rFonts w:ascii="Times New Roman" w:eastAsia="Times New Roman" w:hAnsi="Times New Roman"/>
          <w:b/>
          <w:sz w:val="24"/>
        </w:rPr>
        <w:t>MARRODAN,</w:t>
      </w:r>
      <w:r>
        <w:rPr>
          <w:rFonts w:ascii="Times New Roman" w:eastAsia="Times New Roman" w:hAnsi="Times New Roman"/>
        </w:rPr>
        <w:tab/>
      </w:r>
      <w:r>
        <w:rPr>
          <w:rFonts w:ascii="Times New Roman" w:eastAsia="Times New Roman" w:hAnsi="Times New Roman"/>
          <w:b/>
          <w:sz w:val="24"/>
        </w:rPr>
        <w:t>Flavia</w:t>
      </w:r>
      <w:r>
        <w:rPr>
          <w:rFonts w:ascii="Times New Roman" w:eastAsia="Times New Roman" w:hAnsi="Times New Roman"/>
        </w:rPr>
        <w:tab/>
      </w:r>
      <w:r>
        <w:rPr>
          <w:rFonts w:ascii="Times New Roman" w:eastAsia="Times New Roman" w:hAnsi="Times New Roman"/>
          <w:b/>
          <w:sz w:val="24"/>
        </w:rPr>
        <w:t>M.</w:t>
      </w:r>
      <w:r>
        <w:rPr>
          <w:rFonts w:ascii="Times New Roman" w:eastAsia="Times New Roman" w:hAnsi="Times New Roman"/>
        </w:rPr>
        <w:tab/>
      </w:r>
      <w:r>
        <w:rPr>
          <w:rFonts w:ascii="Times New Roman" w:eastAsia="Times New Roman" w:hAnsi="Times New Roman"/>
          <w:b/>
          <w:sz w:val="24"/>
        </w:rPr>
        <w:t>y</w:t>
      </w:r>
      <w:r>
        <w:rPr>
          <w:rFonts w:ascii="Times New Roman" w:eastAsia="Times New Roman" w:hAnsi="Times New Roman"/>
        </w:rPr>
        <w:tab/>
      </w:r>
      <w:r>
        <w:rPr>
          <w:rFonts w:ascii="Times New Roman" w:eastAsia="Times New Roman" w:hAnsi="Times New Roman"/>
          <w:b/>
          <w:sz w:val="24"/>
        </w:rPr>
        <w:t>otros</w:t>
      </w:r>
    </w:p>
    <w:p w:rsidR="00000000" w:rsidRDefault="008824AB">
      <w:pPr>
        <w:spacing w:line="137" w:lineRule="exact"/>
        <w:rPr>
          <w:rFonts w:ascii="Times New Roman" w:eastAsia="Times New Roman" w:hAnsi="Times New Roman"/>
          <w:sz w:val="24"/>
        </w:rPr>
      </w:pPr>
    </w:p>
    <w:p w:rsidR="00000000" w:rsidRDefault="008824AB">
      <w:pPr>
        <w:spacing w:line="0" w:lineRule="atLeast"/>
        <w:rPr>
          <w:rFonts w:ascii="Times New Roman" w:eastAsia="Times New Roman" w:hAnsi="Times New Roman"/>
          <w:b/>
          <w:sz w:val="24"/>
        </w:rPr>
      </w:pPr>
      <w:r>
        <w:rPr>
          <w:rFonts w:ascii="Times New Roman" w:eastAsia="Times New Roman" w:hAnsi="Times New Roman"/>
          <w:b/>
          <w:sz w:val="24"/>
        </w:rPr>
        <w:t>s/procesamiento</w:t>
      </w:r>
    </w:p>
    <w:p w:rsidR="00000000" w:rsidRDefault="008824AB">
      <w:pPr>
        <w:spacing w:line="139" w:lineRule="exact"/>
        <w:rPr>
          <w:rFonts w:ascii="Times New Roman" w:eastAsia="Times New Roman" w:hAnsi="Times New Roman"/>
          <w:sz w:val="24"/>
        </w:rPr>
      </w:pPr>
    </w:p>
    <w:p w:rsidR="00000000" w:rsidRDefault="008824AB">
      <w:pPr>
        <w:spacing w:line="0" w:lineRule="atLeast"/>
        <w:ind w:left="3900"/>
        <w:rPr>
          <w:rFonts w:ascii="Times New Roman" w:eastAsia="Times New Roman" w:hAnsi="Times New Roman"/>
          <w:b/>
          <w:sz w:val="24"/>
        </w:rPr>
      </w:pPr>
      <w:r>
        <w:rPr>
          <w:rFonts w:ascii="Times New Roman" w:eastAsia="Times New Roman" w:hAnsi="Times New Roman"/>
          <w:b/>
          <w:sz w:val="24"/>
        </w:rPr>
        <w:t>Juzgado 11 - Secretaría 22</w:t>
      </w:r>
    </w:p>
    <w:p w:rsidR="00000000" w:rsidRDefault="008824AB">
      <w:pPr>
        <w:spacing w:line="200" w:lineRule="exact"/>
        <w:rPr>
          <w:rFonts w:ascii="Times New Roman" w:eastAsia="Times New Roman" w:hAnsi="Times New Roman"/>
          <w:sz w:val="24"/>
        </w:rPr>
      </w:pPr>
    </w:p>
    <w:p w:rsidR="00000000" w:rsidRDefault="008824AB">
      <w:pPr>
        <w:spacing w:line="200" w:lineRule="exact"/>
        <w:rPr>
          <w:rFonts w:ascii="Times New Roman" w:eastAsia="Times New Roman" w:hAnsi="Times New Roman"/>
          <w:sz w:val="24"/>
        </w:rPr>
      </w:pPr>
    </w:p>
    <w:p w:rsidR="00000000" w:rsidRDefault="008824AB">
      <w:pPr>
        <w:spacing w:line="200" w:lineRule="exact"/>
        <w:rPr>
          <w:rFonts w:ascii="Times New Roman" w:eastAsia="Times New Roman" w:hAnsi="Times New Roman"/>
          <w:sz w:val="24"/>
        </w:rPr>
      </w:pPr>
    </w:p>
    <w:p w:rsidR="00000000" w:rsidRDefault="008824AB">
      <w:pPr>
        <w:spacing w:line="200" w:lineRule="exact"/>
        <w:rPr>
          <w:rFonts w:ascii="Times New Roman" w:eastAsia="Times New Roman" w:hAnsi="Times New Roman"/>
          <w:sz w:val="24"/>
        </w:rPr>
      </w:pPr>
    </w:p>
    <w:p w:rsidR="00000000" w:rsidRDefault="008824AB">
      <w:pPr>
        <w:spacing w:line="227" w:lineRule="exact"/>
        <w:rPr>
          <w:rFonts w:ascii="Times New Roman" w:eastAsia="Times New Roman" w:hAnsi="Times New Roman"/>
          <w:sz w:val="24"/>
        </w:rPr>
      </w:pPr>
    </w:p>
    <w:p w:rsidR="00000000" w:rsidRDefault="008824AB">
      <w:pPr>
        <w:tabs>
          <w:tab w:val="left" w:pos="3460"/>
          <w:tab w:val="left" w:pos="4040"/>
        </w:tabs>
        <w:spacing w:line="0" w:lineRule="atLeast"/>
        <w:ind w:left="700"/>
        <w:rPr>
          <w:rFonts w:ascii="Times New Roman" w:eastAsia="Times New Roman" w:hAnsi="Times New Roman"/>
          <w:sz w:val="25"/>
        </w:rPr>
      </w:pPr>
      <w:r>
        <w:rPr>
          <w:rFonts w:ascii="Times New Roman" w:eastAsia="Times New Roman" w:hAnsi="Times New Roman"/>
          <w:sz w:val="26"/>
        </w:rPr>
        <w:t>////////////////nos Aires,</w:t>
      </w:r>
      <w:r>
        <w:rPr>
          <w:rFonts w:ascii="Times New Roman" w:eastAsia="Times New Roman" w:hAnsi="Times New Roman"/>
        </w:rPr>
        <w:tab/>
      </w:r>
      <w:r>
        <w:rPr>
          <w:rFonts w:ascii="Times New Roman" w:eastAsia="Times New Roman" w:hAnsi="Times New Roman"/>
          <w:sz w:val="26"/>
        </w:rPr>
        <w:t>11</w:t>
      </w:r>
      <w:r>
        <w:rPr>
          <w:rFonts w:ascii="Times New Roman" w:eastAsia="Times New Roman" w:hAnsi="Times New Roman"/>
        </w:rPr>
        <w:tab/>
      </w:r>
      <w:r>
        <w:rPr>
          <w:rFonts w:ascii="Times New Roman" w:eastAsia="Times New Roman" w:hAnsi="Times New Roman"/>
          <w:sz w:val="25"/>
        </w:rPr>
        <w:t>de noviembre de 2016.</w:t>
      </w:r>
    </w:p>
    <w:p w:rsidR="00000000" w:rsidRDefault="008824AB">
      <w:pPr>
        <w:spacing w:line="157" w:lineRule="exact"/>
        <w:rPr>
          <w:rFonts w:ascii="Times New Roman" w:eastAsia="Times New Roman" w:hAnsi="Times New Roman"/>
          <w:sz w:val="24"/>
        </w:rPr>
      </w:pPr>
    </w:p>
    <w:p w:rsidR="00000000" w:rsidRDefault="008824AB">
      <w:pPr>
        <w:spacing w:line="0" w:lineRule="atLeast"/>
        <w:ind w:left="2820"/>
        <w:rPr>
          <w:rFonts w:ascii="Times New Roman" w:eastAsia="Times New Roman" w:hAnsi="Times New Roman"/>
          <w:b/>
          <w:sz w:val="26"/>
        </w:rPr>
      </w:pPr>
      <w:r>
        <w:rPr>
          <w:rFonts w:ascii="Times New Roman" w:eastAsia="Times New Roman" w:hAnsi="Times New Roman"/>
          <w:b/>
          <w:sz w:val="26"/>
        </w:rPr>
        <w:t>VISTOS: Y CONSIDERANDO:</w:t>
      </w:r>
    </w:p>
    <w:p w:rsidR="00000000" w:rsidRDefault="008824AB">
      <w:pPr>
        <w:spacing w:line="145" w:lineRule="exact"/>
        <w:rPr>
          <w:rFonts w:ascii="Times New Roman" w:eastAsia="Times New Roman" w:hAnsi="Times New Roman"/>
          <w:sz w:val="24"/>
        </w:rPr>
      </w:pPr>
    </w:p>
    <w:p w:rsidR="00000000" w:rsidRDefault="008824AB">
      <w:pPr>
        <w:spacing w:line="359" w:lineRule="auto"/>
        <w:ind w:firstLine="2837"/>
        <w:rPr>
          <w:rFonts w:ascii="Times New Roman" w:eastAsia="Times New Roman" w:hAnsi="Times New Roman"/>
          <w:sz w:val="26"/>
        </w:rPr>
      </w:pPr>
      <w:r>
        <w:rPr>
          <w:rFonts w:ascii="Times New Roman" w:eastAsia="Times New Roman" w:hAnsi="Times New Roman"/>
          <w:b/>
          <w:sz w:val="26"/>
        </w:rPr>
        <w:t xml:space="preserve">I. </w:t>
      </w:r>
      <w:r>
        <w:rPr>
          <w:rFonts w:ascii="Times New Roman" w:eastAsia="Times New Roman" w:hAnsi="Times New Roman"/>
          <w:sz w:val="26"/>
        </w:rPr>
        <w:t>Que las presentes actuaciones se elevaron</w:t>
      </w:r>
      <w:r>
        <w:rPr>
          <w:rFonts w:ascii="Times New Roman" w:eastAsia="Times New Roman" w:hAnsi="Times New Roman"/>
          <w:b/>
          <w:sz w:val="26"/>
        </w:rPr>
        <w:t xml:space="preserve"> </w:t>
      </w:r>
      <w:r>
        <w:rPr>
          <w:rFonts w:ascii="Times New Roman" w:eastAsia="Times New Roman" w:hAnsi="Times New Roman"/>
          <w:sz w:val="26"/>
        </w:rPr>
        <w:t>a conocimiento del Tribunal en virtud de los recursos de apelación deducidos por las defensas técnica</w:t>
      </w:r>
      <w:r>
        <w:rPr>
          <w:rFonts w:ascii="Times New Roman" w:eastAsia="Times New Roman" w:hAnsi="Times New Roman"/>
          <w:sz w:val="26"/>
        </w:rPr>
        <w:t>s de Cristina Fernandez de Kirchner - Dr. Carlos Alberto Beraldi-; Pedro Martín Biscay -Dres. Alejandro Rúa y Paula Honisch-; Sebastián Andrés Aguilera -Dres. Cosme Victorio Rombolá y Elena Carubin-; Miguel Angel Pesce -Dra. Andrea Casaux-; Alejandro Vanol</w:t>
      </w:r>
      <w:r>
        <w:rPr>
          <w:rFonts w:ascii="Times New Roman" w:eastAsia="Times New Roman" w:hAnsi="Times New Roman"/>
          <w:sz w:val="26"/>
        </w:rPr>
        <w:t>i Long Biocca y Flavia Matilde Marrodan -Dras. Ana García y Sheila Borzani Papel-; Alejandro Formento y German David Feldman -Dr. Hernán Canessa-; Juan Miguel Cuattromo -Dr. Ignacio Zunino-; Axel Kicillof -Dr. Guillermo Acuña Anzorena-; Cristian Alexis Gir</w:t>
      </w:r>
      <w:r>
        <w:rPr>
          <w:rFonts w:ascii="Times New Roman" w:eastAsia="Times New Roman" w:hAnsi="Times New Roman"/>
          <w:sz w:val="26"/>
        </w:rPr>
        <w:t>ard, Guillermo Mario Pavan y David Rene Jacoby -Dr. Nicolás Corleto-; y Bárbara Emilia Domatto Conti y Mariano Beltrani -Dr. Agustín Alsina; contra la decisión adoptada por el Sr. Juez de grado cuya fotocopia se encuentra agregada a fs. 471/543 de este inc</w:t>
      </w:r>
      <w:r>
        <w:rPr>
          <w:rFonts w:ascii="Times New Roman" w:eastAsia="Times New Roman" w:hAnsi="Times New Roman"/>
          <w:sz w:val="26"/>
        </w:rPr>
        <w:t xml:space="preserve">idente, a través de la cual dispuso los procesamientos de los nombrados en orden a sus responsabilidades en el hecho </w:t>
      </w:r>
      <w:r>
        <w:rPr>
          <w:rFonts w:ascii="Times New Roman" w:eastAsia="Times New Roman" w:hAnsi="Times New Roman"/>
          <w:i/>
          <w:sz w:val="26"/>
        </w:rPr>
        <w:t>prima facie</w:t>
      </w:r>
      <w:r>
        <w:rPr>
          <w:rFonts w:ascii="Times New Roman" w:eastAsia="Times New Roman" w:hAnsi="Times New Roman"/>
          <w:sz w:val="26"/>
        </w:rPr>
        <w:t xml:space="preserve"> calificado como infracción 173, inciso 7°, en función del artículo 174, inciso 5° del</w:t>
      </w:r>
    </w:p>
    <w:p w:rsidR="00000000" w:rsidRDefault="008824AB">
      <w:pPr>
        <w:spacing w:line="359" w:lineRule="auto"/>
        <w:ind w:firstLine="2837"/>
        <w:rPr>
          <w:rFonts w:ascii="Times New Roman" w:eastAsia="Times New Roman" w:hAnsi="Times New Roman"/>
          <w:sz w:val="26"/>
        </w:rPr>
        <w:sectPr w:rsidR="00000000">
          <w:pgSz w:w="11900" w:h="16840"/>
          <w:pgMar w:top="373" w:right="940" w:bottom="1440" w:left="3200" w:header="0" w:footer="0" w:gutter="0"/>
          <w:cols w:space="0" w:equalWidth="0">
            <w:col w:w="7760"/>
          </w:cols>
          <w:docGrid w:linePitch="360"/>
        </w:sectPr>
      </w:pPr>
    </w:p>
    <w:p w:rsidR="00000000" w:rsidRDefault="008824AB">
      <w:pPr>
        <w:spacing w:line="200" w:lineRule="exact"/>
        <w:rPr>
          <w:rFonts w:ascii="Times New Roman" w:eastAsia="Times New Roman" w:hAnsi="Times New Roman"/>
        </w:rPr>
      </w:pPr>
      <w:bookmarkStart w:id="1" w:name="page2"/>
      <w:bookmarkEnd w:id="1"/>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27" w:lineRule="exact"/>
        <w:rPr>
          <w:rFonts w:ascii="Times New Roman" w:eastAsia="Times New Roman" w:hAnsi="Times New Roman"/>
        </w:rPr>
      </w:pPr>
    </w:p>
    <w:p w:rsidR="00000000" w:rsidRDefault="008824AB">
      <w:pPr>
        <w:spacing w:line="348" w:lineRule="auto"/>
        <w:ind w:right="300"/>
        <w:rPr>
          <w:rFonts w:ascii="Times New Roman" w:eastAsia="Times New Roman" w:hAnsi="Times New Roman"/>
          <w:sz w:val="26"/>
        </w:rPr>
      </w:pPr>
      <w:r>
        <w:rPr>
          <w:rFonts w:ascii="Times New Roman" w:eastAsia="Times New Roman" w:hAnsi="Times New Roman"/>
          <w:sz w:val="26"/>
        </w:rPr>
        <w:t>Código Penal, ordenando el embarg</w:t>
      </w:r>
      <w:r>
        <w:rPr>
          <w:rFonts w:ascii="Times New Roman" w:eastAsia="Times New Roman" w:hAnsi="Times New Roman"/>
          <w:sz w:val="26"/>
        </w:rPr>
        <w:t>o de sus bienes hasta cubrir la suma de quince millones de pesos.</w:t>
      </w:r>
    </w:p>
    <w:p w:rsidR="00000000" w:rsidRDefault="008824AB">
      <w:pPr>
        <w:spacing w:line="16" w:lineRule="exact"/>
        <w:rPr>
          <w:rFonts w:ascii="Times New Roman" w:eastAsia="Times New Roman" w:hAnsi="Times New Roman"/>
        </w:rPr>
      </w:pPr>
    </w:p>
    <w:p w:rsidR="00000000" w:rsidRDefault="008824AB">
      <w:pPr>
        <w:numPr>
          <w:ilvl w:val="0"/>
          <w:numId w:val="1"/>
        </w:numPr>
        <w:tabs>
          <w:tab w:val="left" w:pos="3500"/>
        </w:tabs>
        <w:spacing w:line="0" w:lineRule="atLeast"/>
        <w:ind w:left="3500" w:hanging="670"/>
        <w:jc w:val="both"/>
        <w:rPr>
          <w:rFonts w:ascii="Times New Roman" w:eastAsia="Times New Roman" w:hAnsi="Times New Roman"/>
          <w:b/>
          <w:sz w:val="26"/>
        </w:rPr>
      </w:pPr>
      <w:r>
        <w:rPr>
          <w:rFonts w:ascii="Times New Roman" w:eastAsia="Times New Roman" w:hAnsi="Times New Roman"/>
          <w:sz w:val="26"/>
        </w:rPr>
        <w:t>En  líneas  generales</w:t>
      </w:r>
      <w:r>
        <w:rPr>
          <w:rFonts w:ascii="Times New Roman" w:eastAsia="Times New Roman" w:hAnsi="Times New Roman"/>
          <w:sz w:val="26"/>
        </w:rPr>
        <w:t>las  defensas</w:t>
      </w:r>
    </w:p>
    <w:p w:rsidR="00000000" w:rsidRDefault="008824AB">
      <w:pPr>
        <w:spacing w:line="162" w:lineRule="exact"/>
        <w:rPr>
          <w:rFonts w:ascii="Times New Roman" w:eastAsia="Times New Roman" w:hAnsi="Times New Roman"/>
        </w:rPr>
      </w:pPr>
    </w:p>
    <w:p w:rsidR="00000000" w:rsidRDefault="008824AB">
      <w:pPr>
        <w:spacing w:line="365" w:lineRule="auto"/>
        <w:ind w:right="160"/>
        <w:jc w:val="both"/>
        <w:rPr>
          <w:rFonts w:ascii="Times New Roman" w:eastAsia="Times New Roman" w:hAnsi="Times New Roman"/>
          <w:sz w:val="26"/>
        </w:rPr>
      </w:pPr>
      <w:r>
        <w:rPr>
          <w:rFonts w:ascii="Times New Roman" w:eastAsia="Times New Roman" w:hAnsi="Times New Roman"/>
          <w:sz w:val="26"/>
        </w:rPr>
        <w:t>confluyen en un argumento central: la naturaleza política del tema en debate hace que debiera hallarse excluido de todo examen jurídico penal. Pero tamb</w:t>
      </w:r>
      <w:r>
        <w:rPr>
          <w:rFonts w:ascii="Times New Roman" w:eastAsia="Times New Roman" w:hAnsi="Times New Roman"/>
          <w:sz w:val="26"/>
        </w:rPr>
        <w:t xml:space="preserve">ién, han sido en su mayoría coincidentes en punto a que el </w:t>
      </w:r>
      <w:r>
        <w:rPr>
          <w:rFonts w:ascii="Times New Roman" w:eastAsia="Times New Roman" w:hAnsi="Times New Roman"/>
          <w:i/>
          <w:sz w:val="26"/>
        </w:rPr>
        <w:t>a quo</w:t>
      </w:r>
      <w:r>
        <w:rPr>
          <w:rFonts w:ascii="Times New Roman" w:eastAsia="Times New Roman" w:hAnsi="Times New Roman"/>
          <w:sz w:val="26"/>
        </w:rPr>
        <w:t xml:space="preserve"> ha omitido evaluar los elementos presentados en sus descargos.</w:t>
      </w:r>
    </w:p>
    <w:p w:rsidR="00000000" w:rsidRDefault="008824AB">
      <w:pPr>
        <w:spacing w:line="200" w:lineRule="exact"/>
        <w:rPr>
          <w:rFonts w:ascii="Times New Roman" w:eastAsia="Times New Roman" w:hAnsi="Times New Roman"/>
        </w:rPr>
      </w:pPr>
    </w:p>
    <w:p w:rsidR="00000000" w:rsidRDefault="008824AB">
      <w:pPr>
        <w:spacing w:line="223" w:lineRule="exact"/>
        <w:rPr>
          <w:rFonts w:ascii="Times New Roman" w:eastAsia="Times New Roman" w:hAnsi="Times New Roman"/>
        </w:rPr>
      </w:pPr>
    </w:p>
    <w:p w:rsidR="00000000" w:rsidRDefault="008824AB">
      <w:pPr>
        <w:spacing w:line="358" w:lineRule="auto"/>
        <w:ind w:firstLine="2837"/>
        <w:rPr>
          <w:rFonts w:ascii="Times New Roman" w:eastAsia="Times New Roman" w:hAnsi="Times New Roman"/>
          <w:sz w:val="26"/>
        </w:rPr>
      </w:pPr>
      <w:r>
        <w:rPr>
          <w:rFonts w:ascii="Times New Roman" w:eastAsia="Times New Roman" w:hAnsi="Times New Roman"/>
          <w:sz w:val="26"/>
        </w:rPr>
        <w:t xml:space="preserve">El Dr. Beraldi agregó que la resolución se inscribe en la maniobra de carácter delictivo que es objeto de investigación de la </w:t>
      </w:r>
      <w:r>
        <w:rPr>
          <w:rFonts w:ascii="Times New Roman" w:eastAsia="Times New Roman" w:hAnsi="Times New Roman"/>
          <w:sz w:val="26"/>
        </w:rPr>
        <w:t>causa CFP 4211/16 de trámite por ante el Juzgado n° 12 de este fuero. Deriva de ello que lo decidido se trata de un acto irrito. Además de hallarse sin fundamentos válidos y con una arbitraria imputación, sostiene que se ha soslayado que el supuesto perjui</w:t>
      </w:r>
      <w:r>
        <w:rPr>
          <w:rFonts w:ascii="Times New Roman" w:eastAsia="Times New Roman" w:hAnsi="Times New Roman"/>
          <w:sz w:val="26"/>
        </w:rPr>
        <w:t>cio es el resultado de la intervención del actual gobierno.</w:t>
      </w:r>
    </w:p>
    <w:p w:rsidR="00000000" w:rsidRDefault="008824AB">
      <w:pPr>
        <w:spacing w:line="17" w:lineRule="exact"/>
        <w:rPr>
          <w:rFonts w:ascii="Times New Roman" w:eastAsia="Times New Roman" w:hAnsi="Times New Roman"/>
        </w:rPr>
      </w:pPr>
    </w:p>
    <w:p w:rsidR="00000000" w:rsidRDefault="008824AB">
      <w:pPr>
        <w:spacing w:line="358" w:lineRule="auto"/>
        <w:ind w:right="120" w:firstLine="2837"/>
        <w:rPr>
          <w:rFonts w:ascii="Times New Roman" w:eastAsia="Times New Roman" w:hAnsi="Times New Roman"/>
          <w:sz w:val="26"/>
        </w:rPr>
      </w:pPr>
      <w:r>
        <w:rPr>
          <w:rFonts w:ascii="Times New Roman" w:eastAsia="Times New Roman" w:hAnsi="Times New Roman"/>
          <w:sz w:val="26"/>
        </w:rPr>
        <w:t>Por su parte, los Dres. Rúa y Honisch sostuvieron que existen diferencias en la imputación entre la indagatoria y el procesamiento. Que este último es arbitrario y erróneo en lo que atañe a la in</w:t>
      </w:r>
      <w:r>
        <w:rPr>
          <w:rFonts w:ascii="Times New Roman" w:eastAsia="Times New Roman" w:hAnsi="Times New Roman"/>
          <w:sz w:val="26"/>
        </w:rPr>
        <w:t xml:space="preserve">terpretación de las normas del Banco Central de la República Argentina </w:t>
      </w:r>
      <w:r>
        <w:rPr>
          <w:rFonts w:ascii="Times New Roman" w:eastAsia="Times New Roman" w:hAnsi="Times New Roman"/>
          <w:sz w:val="26"/>
        </w:rPr>
        <w:t xml:space="preserve">–artículo 18 de la Carta Orgánica- y de la Constitución Nacional </w:t>
      </w:r>
      <w:r>
        <w:rPr>
          <w:rFonts w:ascii="Times New Roman" w:eastAsia="Times New Roman" w:hAnsi="Times New Roman"/>
          <w:sz w:val="26"/>
        </w:rPr>
        <w:t>–art. 75, inciso 11-, expidiéndose erradamente sobre cuestiones políticas.</w:t>
      </w:r>
    </w:p>
    <w:p w:rsidR="00000000" w:rsidRDefault="008824AB">
      <w:pPr>
        <w:spacing w:line="17" w:lineRule="exact"/>
        <w:rPr>
          <w:rFonts w:ascii="Times New Roman" w:eastAsia="Times New Roman" w:hAnsi="Times New Roman"/>
        </w:rPr>
      </w:pPr>
    </w:p>
    <w:p w:rsidR="00000000" w:rsidRDefault="008824AB">
      <w:pPr>
        <w:spacing w:line="357" w:lineRule="auto"/>
        <w:ind w:right="120" w:firstLine="2837"/>
        <w:rPr>
          <w:rFonts w:ascii="Times New Roman" w:eastAsia="Times New Roman" w:hAnsi="Times New Roman"/>
          <w:sz w:val="26"/>
        </w:rPr>
      </w:pPr>
      <w:r>
        <w:rPr>
          <w:rFonts w:ascii="Times New Roman" w:eastAsia="Times New Roman" w:hAnsi="Times New Roman"/>
          <w:sz w:val="26"/>
        </w:rPr>
        <w:t>A su turno, los Dres. Rombolá y Carubin tamb</w:t>
      </w:r>
      <w:r>
        <w:rPr>
          <w:rFonts w:ascii="Times New Roman" w:eastAsia="Times New Roman" w:hAnsi="Times New Roman"/>
          <w:sz w:val="26"/>
        </w:rPr>
        <w:t xml:space="preserve">ién se hicieron eco del argumento vinculado al error de información del juez en materia de operatoria monetaria macroeconómica, que se revela ante su insistencia en afirmar que </w:t>
      </w:r>
      <w:r>
        <w:rPr>
          <w:rFonts w:ascii="Times New Roman" w:eastAsia="Times New Roman" w:hAnsi="Times New Roman"/>
          <w:sz w:val="26"/>
        </w:rPr>
        <w:t>“precio de mercado</w:t>
      </w:r>
      <w:r>
        <w:rPr>
          <w:rFonts w:ascii="Times New Roman" w:eastAsia="Times New Roman" w:hAnsi="Times New Roman"/>
          <w:sz w:val="26"/>
        </w:rPr>
        <w:t>” es el de</w:t>
      </w:r>
    </w:p>
    <w:p w:rsidR="00000000" w:rsidRDefault="008824AB">
      <w:pPr>
        <w:spacing w:line="357" w:lineRule="auto"/>
        <w:ind w:right="120" w:firstLine="2837"/>
        <w:rPr>
          <w:rFonts w:ascii="Times New Roman" w:eastAsia="Times New Roman" w:hAnsi="Times New Roman"/>
          <w:sz w:val="26"/>
        </w:rPr>
        <w:sectPr w:rsidR="00000000">
          <w:pgSz w:w="11900" w:h="16840"/>
          <w:pgMar w:top="1440" w:right="2960" w:bottom="1440" w:left="1140" w:header="0" w:footer="0" w:gutter="0"/>
          <w:cols w:space="0" w:equalWidth="0">
            <w:col w:w="7800"/>
          </w:cols>
          <w:docGrid w:linePitch="360"/>
        </w:sectPr>
      </w:pPr>
    </w:p>
    <w:p w:rsidR="00000000" w:rsidRDefault="008824AB">
      <w:pPr>
        <w:spacing w:line="0" w:lineRule="atLeast"/>
        <w:ind w:left="440"/>
        <w:rPr>
          <w:sz w:val="24"/>
        </w:rPr>
      </w:pPr>
      <w:bookmarkStart w:id="2" w:name="page3"/>
      <w:bookmarkEnd w:id="2"/>
      <w:r>
        <w:rPr>
          <w:sz w:val="24"/>
        </w:rPr>
        <w:lastRenderedPageBreak/>
        <w:t>Año del Bicentenario de la Declaración de la Inde</w:t>
      </w:r>
      <w:r>
        <w:rPr>
          <w:sz w:val="24"/>
        </w:rPr>
        <w:t>pendencia Nacional</w:t>
      </w:r>
    </w:p>
    <w:p w:rsidR="00000000" w:rsidRDefault="002D0F24">
      <w:pPr>
        <w:spacing w:line="200" w:lineRule="exact"/>
        <w:rPr>
          <w:rFonts w:ascii="Times New Roman" w:eastAsia="Times New Roman" w:hAnsi="Times New Roman"/>
        </w:rPr>
      </w:pPr>
      <w:r>
        <w:rPr>
          <w:noProof/>
          <w:sz w:val="24"/>
        </w:rPr>
        <w:drawing>
          <wp:anchor distT="0" distB="0" distL="114300" distR="114300" simplePos="0" relativeHeight="251630592" behindDoc="1" locked="0" layoutInCell="0" allowOverlap="1">
            <wp:simplePos x="0" y="0"/>
            <wp:positionH relativeFrom="column">
              <wp:posOffset>2213610</wp:posOffset>
            </wp:positionH>
            <wp:positionV relativeFrom="paragraph">
              <wp:posOffset>50800</wp:posOffset>
            </wp:positionV>
            <wp:extent cx="374650" cy="575945"/>
            <wp:effectExtent l="19050" t="0" r="635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374650" cy="575945"/>
                    </a:xfrm>
                    <a:prstGeom prst="rect">
                      <a:avLst/>
                    </a:prstGeom>
                    <a:noFill/>
                  </pic:spPr>
                </pic:pic>
              </a:graphicData>
            </a:graphic>
          </wp:anchor>
        </w:drawing>
      </w: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45" w:lineRule="exact"/>
        <w:rPr>
          <w:rFonts w:ascii="Times New Roman" w:eastAsia="Times New Roman" w:hAnsi="Times New Roman"/>
        </w:rPr>
      </w:pPr>
    </w:p>
    <w:p w:rsidR="00000000" w:rsidRDefault="008824AB">
      <w:pPr>
        <w:spacing w:line="0" w:lineRule="atLeast"/>
        <w:ind w:left="2240"/>
        <w:rPr>
          <w:rFonts w:ascii="Times New Roman" w:eastAsia="Times New Roman" w:hAnsi="Times New Roman"/>
          <w:sz w:val="28"/>
        </w:rPr>
      </w:pPr>
      <w:r>
        <w:rPr>
          <w:rFonts w:ascii="Times New Roman" w:eastAsia="Times New Roman" w:hAnsi="Times New Roman"/>
          <w:sz w:val="28"/>
        </w:rPr>
        <w:t>Poder Judicial de la Nación</w:t>
      </w:r>
    </w:p>
    <w:p w:rsidR="00000000" w:rsidRDefault="008824AB">
      <w:pPr>
        <w:spacing w:line="129" w:lineRule="exact"/>
        <w:rPr>
          <w:rFonts w:ascii="Times New Roman" w:eastAsia="Times New Roman" w:hAnsi="Times New Roman"/>
        </w:rPr>
      </w:pPr>
    </w:p>
    <w:p w:rsidR="00000000" w:rsidRDefault="008824AB">
      <w:pPr>
        <w:spacing w:line="239" w:lineRule="auto"/>
        <w:ind w:left="2680"/>
        <w:rPr>
          <w:rFonts w:ascii="Times New Roman" w:eastAsia="Times New Roman" w:hAnsi="Times New Roman"/>
          <w:sz w:val="18"/>
        </w:rPr>
      </w:pPr>
      <w:r>
        <w:rPr>
          <w:rFonts w:ascii="Times New Roman" w:eastAsia="Times New Roman" w:hAnsi="Times New Roman"/>
          <w:sz w:val="18"/>
        </w:rPr>
        <w:t>CAMARA CRIMINAL Y CORRECCIONAL FEDERAL - SALA 2</w:t>
      </w:r>
    </w:p>
    <w:p w:rsidR="00000000" w:rsidRDefault="008824AB">
      <w:pPr>
        <w:spacing w:line="239" w:lineRule="auto"/>
        <w:ind w:left="5740"/>
        <w:rPr>
          <w:rFonts w:ascii="Times New Roman" w:eastAsia="Times New Roman" w:hAnsi="Times New Roman"/>
          <w:sz w:val="18"/>
        </w:rPr>
      </w:pPr>
      <w:r>
        <w:rPr>
          <w:rFonts w:ascii="Times New Roman" w:eastAsia="Times New Roman" w:hAnsi="Times New Roman"/>
          <w:sz w:val="18"/>
        </w:rPr>
        <w:t>CFP 12152/2015/27/CA5</w:t>
      </w:r>
    </w:p>
    <w:p w:rsidR="00000000" w:rsidRDefault="008824AB">
      <w:pPr>
        <w:spacing w:line="293" w:lineRule="exact"/>
        <w:rPr>
          <w:rFonts w:ascii="Times New Roman" w:eastAsia="Times New Roman" w:hAnsi="Times New Roman"/>
        </w:rPr>
      </w:pPr>
    </w:p>
    <w:p w:rsidR="00000000" w:rsidRDefault="008824AB">
      <w:pPr>
        <w:spacing w:line="348" w:lineRule="auto"/>
        <w:ind w:right="220"/>
        <w:rPr>
          <w:rFonts w:ascii="Times New Roman" w:eastAsia="Times New Roman" w:hAnsi="Times New Roman"/>
          <w:sz w:val="26"/>
        </w:rPr>
      </w:pPr>
      <w:r>
        <w:rPr>
          <w:rFonts w:ascii="Times New Roman" w:eastAsia="Times New Roman" w:hAnsi="Times New Roman"/>
          <w:sz w:val="26"/>
        </w:rPr>
        <w:t>Nueva York, o pretender tomar como referencia el mercado paralelo, extralegal, marginal.</w:t>
      </w:r>
    </w:p>
    <w:p w:rsidR="00000000" w:rsidRDefault="008824AB">
      <w:pPr>
        <w:spacing w:line="28" w:lineRule="exact"/>
        <w:rPr>
          <w:rFonts w:ascii="Times New Roman" w:eastAsia="Times New Roman" w:hAnsi="Times New Roman"/>
        </w:rPr>
      </w:pPr>
    </w:p>
    <w:p w:rsidR="00000000" w:rsidRDefault="008824AB">
      <w:pPr>
        <w:spacing w:line="358" w:lineRule="auto"/>
        <w:ind w:right="120" w:firstLine="2837"/>
        <w:rPr>
          <w:rFonts w:ascii="Times New Roman" w:eastAsia="Times New Roman" w:hAnsi="Times New Roman"/>
          <w:sz w:val="26"/>
        </w:rPr>
      </w:pPr>
      <w:r>
        <w:rPr>
          <w:rFonts w:ascii="Times New Roman" w:eastAsia="Times New Roman" w:hAnsi="Times New Roman"/>
          <w:sz w:val="26"/>
        </w:rPr>
        <w:t>Para la Dra. Casaux, la resolución se en</w:t>
      </w:r>
      <w:r>
        <w:rPr>
          <w:rFonts w:ascii="Times New Roman" w:eastAsia="Times New Roman" w:hAnsi="Times New Roman"/>
          <w:sz w:val="26"/>
        </w:rPr>
        <w:t>cuentra teñida de razones políticas donde no interesa la prueba de descargo, pues la decisión se hallaba pre concebida. Señala que se mutó la imputación de vender contratos a valores inferiores a modificar los límites. Sostuvo que la resolución está plagad</w:t>
      </w:r>
      <w:r>
        <w:rPr>
          <w:rFonts w:ascii="Times New Roman" w:eastAsia="Times New Roman" w:hAnsi="Times New Roman"/>
          <w:sz w:val="26"/>
        </w:rPr>
        <w:t>a de desaciertos técnicos, como por ejemplo la afirmación de que el BCRA fija la cotización del dólar futuro cuando en realidad el BCRA interviene en el mercado donde se fija la cotización. Asimismo, atacó el encuadre jurídico asignado al hecho.</w:t>
      </w:r>
    </w:p>
    <w:p w:rsidR="00000000" w:rsidRDefault="008824AB">
      <w:pPr>
        <w:spacing w:line="23" w:lineRule="exact"/>
        <w:rPr>
          <w:rFonts w:ascii="Times New Roman" w:eastAsia="Times New Roman" w:hAnsi="Times New Roman"/>
        </w:rPr>
      </w:pPr>
    </w:p>
    <w:p w:rsidR="00000000" w:rsidRDefault="008824AB">
      <w:pPr>
        <w:spacing w:line="360" w:lineRule="auto"/>
        <w:ind w:firstLine="2837"/>
        <w:rPr>
          <w:rFonts w:ascii="Times New Roman" w:eastAsia="Times New Roman" w:hAnsi="Times New Roman"/>
          <w:sz w:val="26"/>
        </w:rPr>
      </w:pPr>
      <w:r>
        <w:rPr>
          <w:rFonts w:ascii="Times New Roman" w:eastAsia="Times New Roman" w:hAnsi="Times New Roman"/>
          <w:sz w:val="26"/>
        </w:rPr>
        <w:t>Este últi</w:t>
      </w:r>
      <w:r>
        <w:rPr>
          <w:rFonts w:ascii="Times New Roman" w:eastAsia="Times New Roman" w:hAnsi="Times New Roman"/>
          <w:sz w:val="26"/>
        </w:rPr>
        <w:t>mo aspecto también fue cuestionado por los Dres. García y Borzani Papel, quienes aludieron a la imposibilidad de atribuir coautoría a quienes no detentan la administración de los bienes, a la vez que tampoco se especificó ni la modalidad de la figura repro</w:t>
      </w:r>
      <w:r>
        <w:rPr>
          <w:rFonts w:ascii="Times New Roman" w:eastAsia="Times New Roman" w:hAnsi="Times New Roman"/>
          <w:sz w:val="26"/>
        </w:rPr>
        <w:t>chada ni su momento consumativo más allá de una hipótesis. Señalaron que el valor de los futuros estaba en línea con el presupuesto 2016 aprobado por ley 27.198, en tanto que el mecanismo de precio es el mismo que el adoptado en el año 2005. Por último, al</w:t>
      </w:r>
      <w:r>
        <w:rPr>
          <w:rFonts w:ascii="Times New Roman" w:eastAsia="Times New Roman" w:hAnsi="Times New Roman"/>
          <w:sz w:val="26"/>
        </w:rPr>
        <w:t>udieron a la razonabilidad de los aumentos de las posiciones abiertas a poco que se repare en la incertidumbre típica que genera en los mercados todo período electoral.</w:t>
      </w:r>
    </w:p>
    <w:p w:rsidR="00000000" w:rsidRDefault="008824AB">
      <w:pPr>
        <w:spacing w:line="200" w:lineRule="exact"/>
        <w:rPr>
          <w:rFonts w:ascii="Times New Roman" w:eastAsia="Times New Roman" w:hAnsi="Times New Roman"/>
        </w:rPr>
      </w:pPr>
    </w:p>
    <w:p w:rsidR="00000000" w:rsidRDefault="008824AB">
      <w:pPr>
        <w:spacing w:line="247" w:lineRule="exact"/>
        <w:rPr>
          <w:rFonts w:ascii="Times New Roman" w:eastAsia="Times New Roman" w:hAnsi="Times New Roman"/>
        </w:rPr>
      </w:pPr>
    </w:p>
    <w:p w:rsidR="00000000" w:rsidRDefault="008824AB">
      <w:pPr>
        <w:spacing w:line="355" w:lineRule="auto"/>
        <w:ind w:right="180" w:firstLine="2837"/>
        <w:rPr>
          <w:rFonts w:ascii="Times New Roman" w:eastAsia="Times New Roman" w:hAnsi="Times New Roman"/>
          <w:sz w:val="26"/>
        </w:rPr>
      </w:pPr>
      <w:r>
        <w:rPr>
          <w:rFonts w:ascii="Times New Roman" w:eastAsia="Times New Roman" w:hAnsi="Times New Roman"/>
          <w:sz w:val="26"/>
        </w:rPr>
        <w:t>El Dr. Canessa propició la nulidad de lo decidido por basarse en definiciones económi</w:t>
      </w:r>
      <w:r>
        <w:rPr>
          <w:rFonts w:ascii="Times New Roman" w:eastAsia="Times New Roman" w:hAnsi="Times New Roman"/>
          <w:sz w:val="26"/>
        </w:rPr>
        <w:t>cas erradas, dogmáticas y arbitrarias.</w:t>
      </w:r>
    </w:p>
    <w:p w:rsidR="00000000" w:rsidRDefault="008824AB">
      <w:pPr>
        <w:spacing w:line="20" w:lineRule="exact"/>
        <w:rPr>
          <w:rFonts w:ascii="Times New Roman" w:eastAsia="Times New Roman" w:hAnsi="Times New Roman"/>
        </w:rPr>
      </w:pPr>
    </w:p>
    <w:p w:rsidR="00000000" w:rsidRDefault="008824AB">
      <w:pPr>
        <w:spacing w:line="350" w:lineRule="auto"/>
        <w:ind w:right="220" w:firstLine="2837"/>
        <w:rPr>
          <w:rFonts w:ascii="Times New Roman" w:eastAsia="Times New Roman" w:hAnsi="Times New Roman"/>
          <w:sz w:val="26"/>
        </w:rPr>
      </w:pPr>
      <w:r>
        <w:rPr>
          <w:rFonts w:ascii="Times New Roman" w:eastAsia="Times New Roman" w:hAnsi="Times New Roman"/>
          <w:sz w:val="26"/>
        </w:rPr>
        <w:t>En similares términos se expidió el Dr. Zunino, para quien la resolución carece de rigor técnico, se encuentra</w:t>
      </w:r>
    </w:p>
    <w:p w:rsidR="00000000" w:rsidRDefault="008824AB">
      <w:pPr>
        <w:spacing w:line="350" w:lineRule="auto"/>
        <w:ind w:right="220" w:firstLine="2837"/>
        <w:rPr>
          <w:rFonts w:ascii="Times New Roman" w:eastAsia="Times New Roman" w:hAnsi="Times New Roman"/>
          <w:sz w:val="26"/>
        </w:rPr>
        <w:sectPr w:rsidR="00000000">
          <w:pgSz w:w="11900" w:h="16840"/>
          <w:pgMar w:top="373" w:right="900" w:bottom="1440" w:left="3200" w:header="0" w:footer="0" w:gutter="0"/>
          <w:cols w:space="0" w:equalWidth="0">
            <w:col w:w="7800"/>
          </w:cols>
          <w:docGrid w:linePitch="360"/>
        </w:sectPr>
      </w:pPr>
    </w:p>
    <w:p w:rsidR="00000000" w:rsidRDefault="008824AB">
      <w:pPr>
        <w:spacing w:line="200" w:lineRule="exact"/>
        <w:rPr>
          <w:rFonts w:ascii="Times New Roman" w:eastAsia="Times New Roman" w:hAnsi="Times New Roman"/>
        </w:rPr>
      </w:pPr>
      <w:bookmarkStart w:id="3" w:name="page4"/>
      <w:bookmarkEnd w:id="3"/>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27" w:lineRule="exact"/>
        <w:rPr>
          <w:rFonts w:ascii="Times New Roman" w:eastAsia="Times New Roman" w:hAnsi="Times New Roman"/>
        </w:rPr>
      </w:pPr>
    </w:p>
    <w:p w:rsidR="00000000" w:rsidRDefault="008824AB">
      <w:pPr>
        <w:spacing w:line="348" w:lineRule="auto"/>
        <w:ind w:right="120"/>
        <w:rPr>
          <w:rFonts w:ascii="Times New Roman" w:eastAsia="Times New Roman" w:hAnsi="Times New Roman"/>
          <w:sz w:val="26"/>
        </w:rPr>
      </w:pPr>
      <w:r>
        <w:rPr>
          <w:rFonts w:ascii="Times New Roman" w:eastAsia="Times New Roman" w:hAnsi="Times New Roman"/>
          <w:sz w:val="26"/>
        </w:rPr>
        <w:t xml:space="preserve">basada en elementos parciales, testimonios no objetivos y artículos de prensa, omitiendo valorar </w:t>
      </w:r>
      <w:r>
        <w:rPr>
          <w:rFonts w:ascii="Times New Roman" w:eastAsia="Times New Roman" w:hAnsi="Times New Roman"/>
          <w:sz w:val="26"/>
        </w:rPr>
        <w:t>gran cantidad de prueba relevante.</w:t>
      </w:r>
    </w:p>
    <w:p w:rsidR="00000000" w:rsidRDefault="008824AB">
      <w:pPr>
        <w:spacing w:line="28" w:lineRule="exact"/>
        <w:rPr>
          <w:rFonts w:ascii="Times New Roman" w:eastAsia="Times New Roman" w:hAnsi="Times New Roman"/>
        </w:rPr>
      </w:pPr>
    </w:p>
    <w:p w:rsidR="00000000" w:rsidRDefault="008824AB">
      <w:pPr>
        <w:spacing w:line="361" w:lineRule="auto"/>
        <w:ind w:firstLine="2837"/>
        <w:rPr>
          <w:rFonts w:ascii="Times New Roman" w:eastAsia="Times New Roman" w:hAnsi="Times New Roman"/>
          <w:sz w:val="26"/>
        </w:rPr>
      </w:pPr>
      <w:r>
        <w:rPr>
          <w:rFonts w:ascii="Times New Roman" w:eastAsia="Times New Roman" w:hAnsi="Times New Roman"/>
          <w:sz w:val="26"/>
        </w:rPr>
        <w:t>El Dr. Acuña Anzorena pone énfasis en que la doctrina económica aún no se pone de acuerdo sobre lo que es precio de mercado, sin perjuicio de lo cual para la justicia parece clara la respuesta. Señaló que es el propio S</w:t>
      </w:r>
      <w:r>
        <w:rPr>
          <w:rFonts w:ascii="Times New Roman" w:eastAsia="Times New Roman" w:hAnsi="Times New Roman"/>
          <w:sz w:val="26"/>
        </w:rPr>
        <w:t>r. Juez quien reconoce que la operatoria no tuvo fines delictivos, sino el de mantener el tipo de cambio, utilizándose para ello un instrumento legal de política monetaria. Concluyó afirmando que los perjuicios son, en definitiva, producto de la devaluació</w:t>
      </w:r>
      <w:r>
        <w:rPr>
          <w:rFonts w:ascii="Times New Roman" w:eastAsia="Times New Roman" w:hAnsi="Times New Roman"/>
          <w:sz w:val="26"/>
        </w:rPr>
        <w:t>n.</w:t>
      </w:r>
    </w:p>
    <w:p w:rsidR="00000000" w:rsidRDefault="008824AB">
      <w:pPr>
        <w:spacing w:line="200" w:lineRule="exact"/>
        <w:rPr>
          <w:rFonts w:ascii="Times New Roman" w:eastAsia="Times New Roman" w:hAnsi="Times New Roman"/>
        </w:rPr>
      </w:pPr>
    </w:p>
    <w:p w:rsidR="00000000" w:rsidRDefault="008824AB">
      <w:pPr>
        <w:spacing w:line="240" w:lineRule="exact"/>
        <w:rPr>
          <w:rFonts w:ascii="Times New Roman" w:eastAsia="Times New Roman" w:hAnsi="Times New Roman"/>
        </w:rPr>
      </w:pPr>
    </w:p>
    <w:p w:rsidR="00000000" w:rsidRDefault="008824AB">
      <w:pPr>
        <w:spacing w:line="358" w:lineRule="auto"/>
        <w:ind w:right="120" w:firstLine="2837"/>
        <w:rPr>
          <w:rFonts w:ascii="Times New Roman" w:eastAsia="Times New Roman" w:hAnsi="Times New Roman"/>
          <w:sz w:val="26"/>
        </w:rPr>
      </w:pPr>
      <w:r>
        <w:rPr>
          <w:rFonts w:ascii="Times New Roman" w:eastAsia="Times New Roman" w:hAnsi="Times New Roman"/>
          <w:sz w:val="26"/>
        </w:rPr>
        <w:t xml:space="preserve">En su oportunidad, el Dr. Corleto afirmó que el </w:t>
      </w:r>
      <w:r>
        <w:rPr>
          <w:rFonts w:ascii="Times New Roman" w:eastAsia="Times New Roman" w:hAnsi="Times New Roman"/>
          <w:i/>
          <w:sz w:val="26"/>
        </w:rPr>
        <w:t>a quo</w:t>
      </w:r>
      <w:r>
        <w:rPr>
          <w:rFonts w:ascii="Times New Roman" w:eastAsia="Times New Roman" w:hAnsi="Times New Roman"/>
          <w:sz w:val="26"/>
        </w:rPr>
        <w:t xml:space="preserve"> efectuó una valoración equivocada, sin pruebas y con una mala interpretación de las normas reguladoras de la Comisión Nacional de Valores, no logrando acreditar ni mínimamente la supuesta subordina</w:t>
      </w:r>
      <w:r>
        <w:rPr>
          <w:rFonts w:ascii="Times New Roman" w:eastAsia="Times New Roman" w:hAnsi="Times New Roman"/>
          <w:sz w:val="26"/>
        </w:rPr>
        <w:t>ción a que alude. Agrega que se ha soslayado que la intervención dominante y monopólica del BCRA es en varios mercados y con diferentes instrumentos a través del tiempo.</w:t>
      </w:r>
    </w:p>
    <w:p w:rsidR="00000000" w:rsidRDefault="008824AB">
      <w:pPr>
        <w:spacing w:line="17" w:lineRule="exact"/>
        <w:rPr>
          <w:rFonts w:ascii="Times New Roman" w:eastAsia="Times New Roman" w:hAnsi="Times New Roman"/>
        </w:rPr>
      </w:pPr>
    </w:p>
    <w:p w:rsidR="00000000" w:rsidRDefault="008824AB">
      <w:pPr>
        <w:spacing w:line="358" w:lineRule="auto"/>
        <w:ind w:right="60" w:firstLine="2837"/>
        <w:rPr>
          <w:rFonts w:ascii="Times New Roman" w:eastAsia="Times New Roman" w:hAnsi="Times New Roman"/>
          <w:sz w:val="26"/>
        </w:rPr>
      </w:pPr>
      <w:r>
        <w:rPr>
          <w:rFonts w:ascii="Times New Roman" w:eastAsia="Times New Roman" w:hAnsi="Times New Roman"/>
          <w:sz w:val="26"/>
        </w:rPr>
        <w:t>Finalmente, el Dr. Alsina afirmó que el fallo tiene estricta motivación política, enc</w:t>
      </w:r>
      <w:r>
        <w:rPr>
          <w:rFonts w:ascii="Times New Roman" w:eastAsia="Times New Roman" w:hAnsi="Times New Roman"/>
          <w:sz w:val="26"/>
        </w:rPr>
        <w:t>ontrándose anclado en artículos periodísticos y unos pocos testimonios. No sólo contiene errores conceptuales sobre temas económicos sino también sobre temas jurídicos, tanto en lo que hace al dolo como a la coautoría y responsabilidad objetiva. Concluye s</w:t>
      </w:r>
      <w:r>
        <w:rPr>
          <w:rFonts w:ascii="Times New Roman" w:eastAsia="Times New Roman" w:hAnsi="Times New Roman"/>
          <w:sz w:val="26"/>
        </w:rPr>
        <w:t>eñalando que el perjuicio económico es, en todo caso, achacable al actual gobierno.</w:t>
      </w:r>
    </w:p>
    <w:p w:rsidR="00000000" w:rsidRDefault="008824AB">
      <w:pPr>
        <w:spacing w:line="17" w:lineRule="exact"/>
        <w:rPr>
          <w:rFonts w:ascii="Times New Roman" w:eastAsia="Times New Roman" w:hAnsi="Times New Roman"/>
        </w:rPr>
      </w:pPr>
    </w:p>
    <w:p w:rsidR="00000000" w:rsidRDefault="008824AB">
      <w:pPr>
        <w:spacing w:line="355" w:lineRule="auto"/>
        <w:ind w:right="60" w:firstLine="2837"/>
        <w:jc w:val="both"/>
        <w:rPr>
          <w:rFonts w:ascii="Times New Roman" w:eastAsia="Times New Roman" w:hAnsi="Times New Roman"/>
          <w:sz w:val="26"/>
        </w:rPr>
      </w:pPr>
      <w:r>
        <w:rPr>
          <w:rFonts w:ascii="Times New Roman" w:eastAsia="Times New Roman" w:hAnsi="Times New Roman"/>
          <w:sz w:val="26"/>
        </w:rPr>
        <w:t>Por último, es de indicar que todas las partes cuestionaron subsidiariamente el monto del embargo fijado por considerarlo excesivo.</w:t>
      </w:r>
    </w:p>
    <w:p w:rsidR="00000000" w:rsidRDefault="008824AB">
      <w:pPr>
        <w:spacing w:line="355" w:lineRule="auto"/>
        <w:ind w:right="60" w:firstLine="2837"/>
        <w:jc w:val="both"/>
        <w:rPr>
          <w:rFonts w:ascii="Times New Roman" w:eastAsia="Times New Roman" w:hAnsi="Times New Roman"/>
          <w:sz w:val="26"/>
        </w:rPr>
        <w:sectPr w:rsidR="00000000">
          <w:pgSz w:w="11900" w:h="16840"/>
          <w:pgMar w:top="1440" w:right="3080" w:bottom="1440" w:left="1140" w:header="0" w:footer="0" w:gutter="0"/>
          <w:cols w:space="0" w:equalWidth="0">
            <w:col w:w="7680"/>
          </w:cols>
          <w:docGrid w:linePitch="360"/>
        </w:sectPr>
      </w:pPr>
    </w:p>
    <w:p w:rsidR="00000000" w:rsidRDefault="008824AB">
      <w:pPr>
        <w:spacing w:line="0" w:lineRule="atLeast"/>
        <w:ind w:left="440"/>
        <w:rPr>
          <w:sz w:val="24"/>
        </w:rPr>
      </w:pPr>
      <w:bookmarkStart w:id="4" w:name="page5"/>
      <w:bookmarkEnd w:id="4"/>
      <w:r>
        <w:rPr>
          <w:sz w:val="24"/>
        </w:rPr>
        <w:lastRenderedPageBreak/>
        <w:t>Año del Bicentenario de la Declaración</w:t>
      </w:r>
      <w:r>
        <w:rPr>
          <w:sz w:val="24"/>
        </w:rPr>
        <w:t xml:space="preserve"> de la Independencia Nacional</w:t>
      </w:r>
    </w:p>
    <w:p w:rsidR="00000000" w:rsidRDefault="002D0F24">
      <w:pPr>
        <w:spacing w:line="200" w:lineRule="exact"/>
        <w:rPr>
          <w:rFonts w:ascii="Times New Roman" w:eastAsia="Times New Roman" w:hAnsi="Times New Roman"/>
        </w:rPr>
      </w:pPr>
      <w:r>
        <w:rPr>
          <w:noProof/>
          <w:sz w:val="24"/>
        </w:rPr>
        <w:drawing>
          <wp:anchor distT="0" distB="0" distL="114300" distR="114300" simplePos="0" relativeHeight="251633664" behindDoc="1" locked="0" layoutInCell="0" allowOverlap="1">
            <wp:simplePos x="0" y="0"/>
            <wp:positionH relativeFrom="column">
              <wp:posOffset>2213610</wp:posOffset>
            </wp:positionH>
            <wp:positionV relativeFrom="paragraph">
              <wp:posOffset>50800</wp:posOffset>
            </wp:positionV>
            <wp:extent cx="374650" cy="575945"/>
            <wp:effectExtent l="19050" t="0" r="635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374650" cy="575945"/>
                    </a:xfrm>
                    <a:prstGeom prst="rect">
                      <a:avLst/>
                    </a:prstGeom>
                    <a:noFill/>
                  </pic:spPr>
                </pic:pic>
              </a:graphicData>
            </a:graphic>
          </wp:anchor>
        </w:drawing>
      </w: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45" w:lineRule="exact"/>
        <w:rPr>
          <w:rFonts w:ascii="Times New Roman" w:eastAsia="Times New Roman" w:hAnsi="Times New Roman"/>
        </w:rPr>
      </w:pPr>
    </w:p>
    <w:p w:rsidR="00000000" w:rsidRDefault="008824AB">
      <w:pPr>
        <w:spacing w:line="0" w:lineRule="atLeast"/>
        <w:ind w:left="2240"/>
        <w:rPr>
          <w:rFonts w:ascii="Times New Roman" w:eastAsia="Times New Roman" w:hAnsi="Times New Roman"/>
          <w:sz w:val="28"/>
        </w:rPr>
      </w:pPr>
      <w:r>
        <w:rPr>
          <w:rFonts w:ascii="Times New Roman" w:eastAsia="Times New Roman" w:hAnsi="Times New Roman"/>
          <w:sz w:val="28"/>
        </w:rPr>
        <w:t>Poder Judicial de la Nación</w:t>
      </w:r>
    </w:p>
    <w:p w:rsidR="00000000" w:rsidRDefault="008824AB">
      <w:pPr>
        <w:spacing w:line="129" w:lineRule="exact"/>
        <w:rPr>
          <w:rFonts w:ascii="Times New Roman" w:eastAsia="Times New Roman" w:hAnsi="Times New Roman"/>
        </w:rPr>
      </w:pPr>
    </w:p>
    <w:p w:rsidR="00000000" w:rsidRDefault="008824AB">
      <w:pPr>
        <w:spacing w:line="239" w:lineRule="auto"/>
        <w:ind w:left="2680"/>
        <w:rPr>
          <w:rFonts w:ascii="Times New Roman" w:eastAsia="Times New Roman" w:hAnsi="Times New Roman"/>
          <w:sz w:val="18"/>
        </w:rPr>
      </w:pPr>
      <w:r>
        <w:rPr>
          <w:rFonts w:ascii="Times New Roman" w:eastAsia="Times New Roman" w:hAnsi="Times New Roman"/>
          <w:sz w:val="18"/>
        </w:rPr>
        <w:t>CAMARA CRIMINAL Y CORRECCIONAL FEDERAL - SALA 2</w:t>
      </w:r>
    </w:p>
    <w:p w:rsidR="00000000" w:rsidRDefault="008824AB">
      <w:pPr>
        <w:spacing w:line="239" w:lineRule="auto"/>
        <w:ind w:left="5740"/>
        <w:rPr>
          <w:rFonts w:ascii="Times New Roman" w:eastAsia="Times New Roman" w:hAnsi="Times New Roman"/>
          <w:sz w:val="18"/>
        </w:rPr>
      </w:pPr>
      <w:r>
        <w:rPr>
          <w:rFonts w:ascii="Times New Roman" w:eastAsia="Times New Roman" w:hAnsi="Times New Roman"/>
          <w:sz w:val="18"/>
        </w:rPr>
        <w:t>CFP 12152/2015/27/CA5</w:t>
      </w:r>
    </w:p>
    <w:p w:rsidR="00000000" w:rsidRDefault="008824AB">
      <w:pPr>
        <w:spacing w:line="283" w:lineRule="exact"/>
        <w:rPr>
          <w:rFonts w:ascii="Times New Roman" w:eastAsia="Times New Roman" w:hAnsi="Times New Roman"/>
        </w:rPr>
      </w:pPr>
    </w:p>
    <w:p w:rsidR="00000000" w:rsidRDefault="008824AB">
      <w:pPr>
        <w:spacing w:line="358" w:lineRule="auto"/>
        <w:ind w:right="100" w:firstLine="2837"/>
        <w:jc w:val="both"/>
        <w:rPr>
          <w:rFonts w:ascii="Times New Roman" w:eastAsia="Times New Roman" w:hAnsi="Times New Roman"/>
          <w:sz w:val="26"/>
        </w:rPr>
      </w:pPr>
      <w:r>
        <w:rPr>
          <w:rFonts w:ascii="Times New Roman" w:eastAsia="Times New Roman" w:hAnsi="Times New Roman"/>
          <w:b/>
          <w:sz w:val="26"/>
        </w:rPr>
        <w:t xml:space="preserve">III. </w:t>
      </w:r>
      <w:r>
        <w:rPr>
          <w:rFonts w:ascii="Times New Roman" w:eastAsia="Times New Roman" w:hAnsi="Times New Roman"/>
          <w:sz w:val="26"/>
        </w:rPr>
        <w:t>El primer examen se relaciona con la</w:t>
      </w:r>
      <w:r>
        <w:rPr>
          <w:rFonts w:ascii="Times New Roman" w:eastAsia="Times New Roman" w:hAnsi="Times New Roman"/>
          <w:b/>
          <w:sz w:val="26"/>
        </w:rPr>
        <w:t xml:space="preserve"> </w:t>
      </w:r>
      <w:r>
        <w:rPr>
          <w:rFonts w:ascii="Times New Roman" w:eastAsia="Times New Roman" w:hAnsi="Times New Roman"/>
          <w:sz w:val="26"/>
        </w:rPr>
        <w:t xml:space="preserve">validez de la decisión adoptada por el </w:t>
      </w:r>
      <w:r>
        <w:rPr>
          <w:rFonts w:ascii="Times New Roman" w:eastAsia="Times New Roman" w:hAnsi="Times New Roman"/>
          <w:i/>
          <w:sz w:val="26"/>
        </w:rPr>
        <w:t>a quo</w:t>
      </w:r>
      <w:r>
        <w:rPr>
          <w:rFonts w:ascii="Times New Roman" w:eastAsia="Times New Roman" w:hAnsi="Times New Roman"/>
          <w:sz w:val="26"/>
        </w:rPr>
        <w:t>, atendiendo a los planteos que la</w:t>
      </w:r>
      <w:r>
        <w:rPr>
          <w:rFonts w:ascii="Times New Roman" w:eastAsia="Times New Roman" w:hAnsi="Times New Roman"/>
          <w:sz w:val="26"/>
        </w:rPr>
        <w:t>s defensas han introducido en torno a ello.</w:t>
      </w:r>
    </w:p>
    <w:p w:rsidR="00000000" w:rsidRDefault="008824AB">
      <w:pPr>
        <w:spacing w:line="16" w:lineRule="exact"/>
        <w:rPr>
          <w:rFonts w:ascii="Times New Roman" w:eastAsia="Times New Roman" w:hAnsi="Times New Roman"/>
        </w:rPr>
      </w:pPr>
    </w:p>
    <w:p w:rsidR="00000000" w:rsidRDefault="008824AB">
      <w:pPr>
        <w:spacing w:line="358" w:lineRule="auto"/>
        <w:ind w:firstLine="2837"/>
        <w:rPr>
          <w:rFonts w:ascii="Times New Roman" w:eastAsia="Times New Roman" w:hAnsi="Times New Roman"/>
          <w:sz w:val="26"/>
        </w:rPr>
      </w:pPr>
      <w:r>
        <w:rPr>
          <w:rFonts w:ascii="Times New Roman" w:eastAsia="Times New Roman" w:hAnsi="Times New Roman"/>
          <w:sz w:val="26"/>
        </w:rPr>
        <w:t>Sobre tal cuestión, se observa que los agravios de las partes no provienen de la falta de fundamentación o arbitrariedad sino en sus diferencias con la lógica valorativa seguida por el Sr. Juez de grado al eval</w:t>
      </w:r>
      <w:r>
        <w:rPr>
          <w:rFonts w:ascii="Times New Roman" w:eastAsia="Times New Roman" w:hAnsi="Times New Roman"/>
          <w:sz w:val="26"/>
        </w:rPr>
        <w:t>uar las constancias que lo llevaron a resolver de modo contrario a las pretensiones de las defensas, mas dichas circunstancias resultan ajenas a la instancia de nulidad propiciada y encontrarán adecuado cauce de tratamiento dentro del examen propio de la a</w:t>
      </w:r>
      <w:r>
        <w:rPr>
          <w:rFonts w:ascii="Times New Roman" w:eastAsia="Times New Roman" w:hAnsi="Times New Roman"/>
          <w:sz w:val="26"/>
        </w:rPr>
        <w:t>pelación deducida.</w:t>
      </w:r>
    </w:p>
    <w:p w:rsidR="00000000" w:rsidRDefault="008824AB">
      <w:pPr>
        <w:spacing w:line="8" w:lineRule="exact"/>
        <w:rPr>
          <w:rFonts w:ascii="Times New Roman" w:eastAsia="Times New Roman" w:hAnsi="Times New Roman"/>
        </w:rPr>
      </w:pPr>
    </w:p>
    <w:p w:rsidR="00000000" w:rsidRDefault="008824AB">
      <w:pPr>
        <w:tabs>
          <w:tab w:val="left" w:pos="3260"/>
          <w:tab w:val="left" w:pos="4280"/>
          <w:tab w:val="left" w:pos="4820"/>
          <w:tab w:val="left" w:pos="5560"/>
          <w:tab w:val="left" w:pos="5940"/>
          <w:tab w:val="left" w:pos="6940"/>
          <w:tab w:val="left" w:pos="7360"/>
        </w:tabs>
        <w:spacing w:line="0" w:lineRule="atLeast"/>
        <w:ind w:left="2820"/>
        <w:rPr>
          <w:rFonts w:ascii="Times New Roman" w:eastAsia="Times New Roman" w:hAnsi="Times New Roman"/>
          <w:sz w:val="26"/>
        </w:rPr>
      </w:pPr>
      <w:r>
        <w:rPr>
          <w:rFonts w:ascii="Times New Roman" w:eastAsia="Times New Roman" w:hAnsi="Times New Roman"/>
          <w:sz w:val="26"/>
        </w:rPr>
        <w:t>Se</w:t>
      </w:r>
      <w:r>
        <w:rPr>
          <w:rFonts w:ascii="Times New Roman" w:eastAsia="Times New Roman" w:hAnsi="Times New Roman"/>
        </w:rPr>
        <w:tab/>
      </w:r>
      <w:r>
        <w:rPr>
          <w:rFonts w:ascii="Times New Roman" w:eastAsia="Times New Roman" w:hAnsi="Times New Roman"/>
          <w:sz w:val="26"/>
        </w:rPr>
        <w:t>impone,</w:t>
      </w:r>
      <w:r>
        <w:rPr>
          <w:rFonts w:ascii="Times New Roman" w:eastAsia="Times New Roman" w:hAnsi="Times New Roman"/>
        </w:rPr>
        <w:tab/>
      </w:r>
      <w:r>
        <w:rPr>
          <w:rFonts w:ascii="Times New Roman" w:eastAsia="Times New Roman" w:hAnsi="Times New Roman"/>
          <w:sz w:val="26"/>
        </w:rPr>
        <w:t>por</w:t>
      </w:r>
      <w:r>
        <w:rPr>
          <w:rFonts w:ascii="Times New Roman" w:eastAsia="Times New Roman" w:hAnsi="Times New Roman"/>
        </w:rPr>
        <w:tab/>
      </w:r>
      <w:r>
        <w:rPr>
          <w:rFonts w:ascii="Times New Roman" w:eastAsia="Times New Roman" w:hAnsi="Times New Roman"/>
          <w:sz w:val="26"/>
        </w:rPr>
        <w:t>ende,</w:t>
      </w:r>
      <w:r>
        <w:rPr>
          <w:rFonts w:ascii="Times New Roman" w:eastAsia="Times New Roman" w:hAnsi="Times New Roman"/>
        </w:rPr>
        <w:tab/>
      </w:r>
      <w:r>
        <w:rPr>
          <w:rFonts w:ascii="Times New Roman" w:eastAsia="Times New Roman" w:hAnsi="Times New Roman"/>
          <w:sz w:val="26"/>
        </w:rPr>
        <w:t>el</w:t>
      </w:r>
      <w:r>
        <w:rPr>
          <w:rFonts w:ascii="Times New Roman" w:eastAsia="Times New Roman" w:hAnsi="Times New Roman"/>
        </w:rPr>
        <w:tab/>
      </w:r>
      <w:r>
        <w:rPr>
          <w:rFonts w:ascii="Times New Roman" w:eastAsia="Times New Roman" w:hAnsi="Times New Roman"/>
          <w:sz w:val="26"/>
        </w:rPr>
        <w:t>rechazo</w:t>
      </w:r>
      <w:r>
        <w:rPr>
          <w:rFonts w:ascii="Times New Roman" w:eastAsia="Times New Roman" w:hAnsi="Times New Roman"/>
        </w:rPr>
        <w:tab/>
      </w:r>
      <w:r>
        <w:rPr>
          <w:rFonts w:ascii="Times New Roman" w:eastAsia="Times New Roman" w:hAnsi="Times New Roman"/>
          <w:sz w:val="26"/>
        </w:rPr>
        <w:t>de</w:t>
      </w:r>
      <w:r>
        <w:rPr>
          <w:rFonts w:ascii="Times New Roman" w:eastAsia="Times New Roman" w:hAnsi="Times New Roman"/>
        </w:rPr>
        <w:tab/>
      </w:r>
      <w:r>
        <w:rPr>
          <w:rFonts w:ascii="Times New Roman" w:eastAsia="Times New Roman" w:hAnsi="Times New Roman"/>
          <w:sz w:val="26"/>
        </w:rPr>
        <w:t>la</w:t>
      </w:r>
    </w:p>
    <w:p w:rsidR="00000000" w:rsidRDefault="008824AB">
      <w:pPr>
        <w:spacing w:line="150" w:lineRule="exact"/>
        <w:rPr>
          <w:rFonts w:ascii="Times New Roman" w:eastAsia="Times New Roman" w:hAnsi="Times New Roman"/>
        </w:rPr>
      </w:pPr>
    </w:p>
    <w:p w:rsidR="00000000" w:rsidRDefault="008824AB">
      <w:pPr>
        <w:spacing w:line="0" w:lineRule="atLeast"/>
        <w:rPr>
          <w:rFonts w:ascii="Times New Roman" w:eastAsia="Times New Roman" w:hAnsi="Times New Roman"/>
          <w:sz w:val="26"/>
        </w:rPr>
      </w:pPr>
      <w:r>
        <w:rPr>
          <w:rFonts w:ascii="Times New Roman" w:eastAsia="Times New Roman" w:hAnsi="Times New Roman"/>
          <w:sz w:val="26"/>
        </w:rPr>
        <w:t>sanción propiciada.</w:t>
      </w:r>
    </w:p>
    <w:p w:rsidR="00000000" w:rsidRDefault="008824AB">
      <w:pPr>
        <w:spacing w:line="157" w:lineRule="exact"/>
        <w:rPr>
          <w:rFonts w:ascii="Times New Roman" w:eastAsia="Times New Roman" w:hAnsi="Times New Roman"/>
        </w:rPr>
      </w:pPr>
    </w:p>
    <w:p w:rsidR="00000000" w:rsidRDefault="008824AB">
      <w:pPr>
        <w:spacing w:line="0" w:lineRule="atLeast"/>
        <w:ind w:left="2820"/>
        <w:rPr>
          <w:rFonts w:ascii="Times New Roman" w:eastAsia="Times New Roman" w:hAnsi="Times New Roman"/>
          <w:b/>
          <w:sz w:val="26"/>
        </w:rPr>
      </w:pPr>
      <w:r>
        <w:rPr>
          <w:rFonts w:ascii="Times New Roman" w:eastAsia="Times New Roman" w:hAnsi="Times New Roman"/>
          <w:b/>
          <w:sz w:val="26"/>
        </w:rPr>
        <w:t>IV. El Dr. Martín Irurzun dice:</w:t>
      </w:r>
    </w:p>
    <w:p w:rsidR="00000000" w:rsidRDefault="008824AB">
      <w:pPr>
        <w:spacing w:line="145" w:lineRule="exact"/>
        <w:rPr>
          <w:rFonts w:ascii="Times New Roman" w:eastAsia="Times New Roman" w:hAnsi="Times New Roman"/>
        </w:rPr>
      </w:pPr>
    </w:p>
    <w:p w:rsidR="00000000" w:rsidRDefault="008824AB">
      <w:pPr>
        <w:spacing w:line="364" w:lineRule="auto"/>
        <w:ind w:right="60" w:firstLine="2837"/>
        <w:rPr>
          <w:rFonts w:ascii="Times New Roman" w:eastAsia="Times New Roman" w:hAnsi="Times New Roman"/>
          <w:sz w:val="26"/>
        </w:rPr>
      </w:pPr>
      <w:r>
        <w:rPr>
          <w:rFonts w:ascii="Times New Roman" w:eastAsia="Times New Roman" w:hAnsi="Times New Roman"/>
          <w:b/>
          <w:sz w:val="26"/>
        </w:rPr>
        <w:t xml:space="preserve">IV.a- </w:t>
      </w:r>
      <w:r>
        <w:rPr>
          <w:rFonts w:ascii="Times New Roman" w:eastAsia="Times New Roman" w:hAnsi="Times New Roman"/>
          <w:sz w:val="26"/>
        </w:rPr>
        <w:t>Mucho es lo que se ha hablado sobre</w:t>
      </w:r>
      <w:r>
        <w:rPr>
          <w:rFonts w:ascii="Times New Roman" w:eastAsia="Times New Roman" w:hAnsi="Times New Roman"/>
          <w:b/>
          <w:sz w:val="26"/>
        </w:rPr>
        <w:t xml:space="preserve"> </w:t>
      </w:r>
      <w:r>
        <w:rPr>
          <w:rFonts w:ascii="Times New Roman" w:eastAsia="Times New Roman" w:hAnsi="Times New Roman"/>
          <w:sz w:val="26"/>
        </w:rPr>
        <w:t>la existencia de esta causa, siendo eje de los debates el acierto o no de una investigación penal que</w:t>
      </w:r>
      <w:r>
        <w:rPr>
          <w:rFonts w:ascii="Times New Roman" w:eastAsia="Times New Roman" w:hAnsi="Times New Roman"/>
          <w:sz w:val="26"/>
        </w:rPr>
        <w:t xml:space="preserve"> tuviera como finalidad el examen de la licitud de la venta de contratos de dólar futuro por parte del Banco Central de la República Argentina, en las condiciones en que aconteciera.</w:t>
      </w:r>
    </w:p>
    <w:p w:rsidR="00000000" w:rsidRDefault="008824AB">
      <w:pPr>
        <w:spacing w:line="200" w:lineRule="exact"/>
        <w:rPr>
          <w:rFonts w:ascii="Times New Roman" w:eastAsia="Times New Roman" w:hAnsi="Times New Roman"/>
        </w:rPr>
      </w:pPr>
    </w:p>
    <w:p w:rsidR="00000000" w:rsidRDefault="008824AB">
      <w:pPr>
        <w:spacing w:line="233" w:lineRule="exact"/>
        <w:rPr>
          <w:rFonts w:ascii="Times New Roman" w:eastAsia="Times New Roman" w:hAnsi="Times New Roman"/>
        </w:rPr>
      </w:pPr>
    </w:p>
    <w:p w:rsidR="00000000" w:rsidRDefault="008824AB">
      <w:pPr>
        <w:spacing w:line="358" w:lineRule="auto"/>
        <w:ind w:right="40" w:firstLine="2837"/>
        <w:rPr>
          <w:rFonts w:ascii="Times New Roman" w:eastAsia="Times New Roman" w:hAnsi="Times New Roman"/>
          <w:sz w:val="26"/>
        </w:rPr>
      </w:pPr>
      <w:r>
        <w:rPr>
          <w:rFonts w:ascii="Times New Roman" w:eastAsia="Times New Roman" w:hAnsi="Times New Roman"/>
          <w:sz w:val="26"/>
        </w:rPr>
        <w:t xml:space="preserve">En rigor, el objeto de la pesquisa no fue cuestionar la legitimidad de </w:t>
      </w:r>
      <w:r>
        <w:rPr>
          <w:rFonts w:ascii="Times New Roman" w:eastAsia="Times New Roman" w:hAnsi="Times New Roman"/>
          <w:sz w:val="26"/>
        </w:rPr>
        <w:t>la venta de contratos de dólar a futuro, sino que se orientó a determinar si tales operatorias fueron llevadas a cabo en violación a lo dispuesto en su Carta Orgánica, en beneficio de terceros y perjudicando el patrimonio de la entidad, introduciéndose lue</w:t>
      </w:r>
      <w:r>
        <w:rPr>
          <w:rFonts w:ascii="Times New Roman" w:eastAsia="Times New Roman" w:hAnsi="Times New Roman"/>
          <w:sz w:val="26"/>
        </w:rPr>
        <w:t>go como dato a relevar la regularidad de las modificaciones de los límites preexistentes en los mercados para fortalecer la posición vendedora del</w:t>
      </w:r>
    </w:p>
    <w:p w:rsidR="00000000" w:rsidRDefault="008824AB">
      <w:pPr>
        <w:spacing w:line="358" w:lineRule="auto"/>
        <w:ind w:right="40" w:firstLine="2837"/>
        <w:rPr>
          <w:rFonts w:ascii="Times New Roman" w:eastAsia="Times New Roman" w:hAnsi="Times New Roman"/>
          <w:sz w:val="26"/>
        </w:rPr>
        <w:sectPr w:rsidR="00000000">
          <w:pgSz w:w="11900" w:h="16840"/>
          <w:pgMar w:top="373" w:right="1020" w:bottom="1440" w:left="3200" w:header="0" w:footer="0" w:gutter="0"/>
          <w:cols w:space="0" w:equalWidth="0">
            <w:col w:w="7680"/>
          </w:cols>
          <w:docGrid w:linePitch="360"/>
        </w:sectPr>
      </w:pPr>
    </w:p>
    <w:p w:rsidR="00000000" w:rsidRDefault="008824AB">
      <w:pPr>
        <w:spacing w:line="200" w:lineRule="exact"/>
        <w:rPr>
          <w:rFonts w:ascii="Times New Roman" w:eastAsia="Times New Roman" w:hAnsi="Times New Roman"/>
        </w:rPr>
      </w:pPr>
      <w:bookmarkStart w:id="5" w:name="page6"/>
      <w:bookmarkEnd w:id="5"/>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27" w:lineRule="exact"/>
        <w:rPr>
          <w:rFonts w:ascii="Times New Roman" w:eastAsia="Times New Roman" w:hAnsi="Times New Roman"/>
        </w:rPr>
      </w:pPr>
    </w:p>
    <w:p w:rsidR="00000000" w:rsidRDefault="008824AB">
      <w:pPr>
        <w:spacing w:line="348" w:lineRule="auto"/>
        <w:ind w:right="60"/>
        <w:rPr>
          <w:rFonts w:ascii="Times New Roman" w:eastAsia="Times New Roman" w:hAnsi="Times New Roman"/>
          <w:sz w:val="26"/>
        </w:rPr>
      </w:pPr>
      <w:r>
        <w:rPr>
          <w:rFonts w:ascii="Times New Roman" w:eastAsia="Times New Roman" w:hAnsi="Times New Roman"/>
          <w:sz w:val="26"/>
        </w:rPr>
        <w:t>Banco Central de la República Argentina y sin exigir garantías razonables -conf. fs. 1/8, 10 y 20-.</w:t>
      </w:r>
    </w:p>
    <w:p w:rsidR="00000000" w:rsidRDefault="008824AB">
      <w:pPr>
        <w:spacing w:line="28" w:lineRule="exact"/>
        <w:rPr>
          <w:rFonts w:ascii="Times New Roman" w:eastAsia="Times New Roman" w:hAnsi="Times New Roman"/>
        </w:rPr>
      </w:pPr>
    </w:p>
    <w:p w:rsidR="00000000" w:rsidRDefault="008824AB">
      <w:pPr>
        <w:spacing w:line="358" w:lineRule="auto"/>
        <w:ind w:firstLine="2837"/>
        <w:rPr>
          <w:rFonts w:ascii="Times New Roman" w:eastAsia="Times New Roman" w:hAnsi="Times New Roman"/>
          <w:sz w:val="26"/>
        </w:rPr>
      </w:pPr>
      <w:r>
        <w:rPr>
          <w:rFonts w:ascii="Times New Roman" w:eastAsia="Times New Roman" w:hAnsi="Times New Roman"/>
          <w:sz w:val="26"/>
        </w:rPr>
        <w:t>No sin una cuota de interés particular, se ha intentado instalar la idea de que, en rigor, se trata de una discusión ajena al ámbito jurídico penal, pero si bien es cierto que las cuestiones que hacen a la política monetaria son efectivamente asuntos en l</w:t>
      </w:r>
      <w:r>
        <w:rPr>
          <w:rFonts w:ascii="Times New Roman" w:eastAsia="Times New Roman" w:hAnsi="Times New Roman"/>
          <w:sz w:val="26"/>
        </w:rPr>
        <w:t>os que nada tiene que decir esta sede, si corresponde determinar si una decisión de la autoridad pudo haber sido el resultado de un proceder tipificado por aquellas normas penales que específicamente atienden a los casos en que la actividad reprochada gira</w:t>
      </w:r>
      <w:r>
        <w:rPr>
          <w:rFonts w:ascii="Times New Roman" w:eastAsia="Times New Roman" w:hAnsi="Times New Roman"/>
          <w:sz w:val="26"/>
        </w:rPr>
        <w:t xml:space="preserve"> en derredor de la función pública.</w:t>
      </w:r>
    </w:p>
    <w:p w:rsidR="00000000" w:rsidRDefault="008824AB">
      <w:pPr>
        <w:spacing w:line="20" w:lineRule="exact"/>
        <w:rPr>
          <w:rFonts w:ascii="Times New Roman" w:eastAsia="Times New Roman" w:hAnsi="Times New Roman"/>
        </w:rPr>
      </w:pPr>
    </w:p>
    <w:p w:rsidR="00000000" w:rsidRDefault="008824AB">
      <w:pPr>
        <w:spacing w:line="358" w:lineRule="auto"/>
        <w:ind w:right="40" w:firstLine="2837"/>
        <w:rPr>
          <w:rFonts w:ascii="Times New Roman" w:eastAsia="Times New Roman" w:hAnsi="Times New Roman"/>
          <w:sz w:val="26"/>
        </w:rPr>
      </w:pPr>
      <w:r>
        <w:rPr>
          <w:rFonts w:ascii="Times New Roman" w:eastAsia="Times New Roman" w:hAnsi="Times New Roman"/>
          <w:sz w:val="26"/>
        </w:rPr>
        <w:t>Ello, en tanto la imputación no versa sobre criterios, ideas o políticas de naturaleza económica, monetaria o cambiaria, sino sobre el eventual exceso, abuso o extralimitación en el ejercicio de un cargo público como co</w:t>
      </w:r>
      <w:r>
        <w:rPr>
          <w:rFonts w:ascii="Times New Roman" w:eastAsia="Times New Roman" w:hAnsi="Times New Roman"/>
          <w:sz w:val="26"/>
        </w:rPr>
        <w:t>nsecuencia de haberse vendido contratos de dólares a futuro -atribución expresamente conferida por la ley- a un precio que no era el de mercado -como exigía la misma norma-, produciéndose como consecuencia de ello un perjuicio al patrimonio público.</w:t>
      </w:r>
    </w:p>
    <w:p w:rsidR="00000000" w:rsidRDefault="008824AB">
      <w:pPr>
        <w:spacing w:line="20" w:lineRule="exact"/>
        <w:rPr>
          <w:rFonts w:ascii="Times New Roman" w:eastAsia="Times New Roman" w:hAnsi="Times New Roman"/>
        </w:rPr>
      </w:pPr>
    </w:p>
    <w:p w:rsidR="00000000" w:rsidRDefault="008824AB">
      <w:pPr>
        <w:spacing w:line="357" w:lineRule="auto"/>
        <w:ind w:right="40" w:firstLine="2837"/>
        <w:rPr>
          <w:rFonts w:ascii="Times New Roman" w:eastAsia="Times New Roman" w:hAnsi="Times New Roman"/>
          <w:sz w:val="26"/>
        </w:rPr>
      </w:pPr>
      <w:r>
        <w:rPr>
          <w:rFonts w:ascii="Times New Roman" w:eastAsia="Times New Roman" w:hAnsi="Times New Roman"/>
          <w:sz w:val="26"/>
        </w:rPr>
        <w:t>Por e</w:t>
      </w:r>
      <w:r>
        <w:rPr>
          <w:rFonts w:ascii="Times New Roman" w:eastAsia="Times New Roman" w:hAnsi="Times New Roman"/>
          <w:sz w:val="26"/>
        </w:rPr>
        <w:t>nde, aquí no se trata de juzgar criterios de oportunidad, mérito o conveniencia privativos de otro poder del Estado, sino de establecer si la autoridad fue ejercida dentro de los límites impuestos por la ley que fijó, precisamente, cuales eran esos criteri</w:t>
      </w:r>
      <w:r>
        <w:rPr>
          <w:rFonts w:ascii="Times New Roman" w:eastAsia="Times New Roman" w:hAnsi="Times New Roman"/>
          <w:sz w:val="26"/>
        </w:rPr>
        <w:t>os.</w:t>
      </w:r>
    </w:p>
    <w:p w:rsidR="00000000" w:rsidRDefault="008824AB">
      <w:pPr>
        <w:spacing w:line="6" w:lineRule="exact"/>
        <w:rPr>
          <w:rFonts w:ascii="Times New Roman" w:eastAsia="Times New Roman" w:hAnsi="Times New Roman"/>
        </w:rPr>
      </w:pPr>
    </w:p>
    <w:p w:rsidR="00000000" w:rsidRDefault="008824AB">
      <w:pPr>
        <w:spacing w:line="239" w:lineRule="auto"/>
        <w:ind w:left="2820"/>
        <w:rPr>
          <w:rFonts w:ascii="Times New Roman" w:eastAsia="Times New Roman" w:hAnsi="Times New Roman"/>
          <w:sz w:val="26"/>
        </w:rPr>
      </w:pPr>
      <w:r>
        <w:rPr>
          <w:rFonts w:ascii="Times New Roman" w:eastAsia="Times New Roman" w:hAnsi="Times New Roman"/>
          <w:sz w:val="26"/>
        </w:rPr>
        <w:t>Allí  habrá  de  fincar  el  objeto  del  presente</w:t>
      </w:r>
    </w:p>
    <w:p w:rsidR="00000000" w:rsidRDefault="008824AB">
      <w:pPr>
        <w:spacing w:line="151" w:lineRule="exact"/>
        <w:rPr>
          <w:rFonts w:ascii="Times New Roman" w:eastAsia="Times New Roman" w:hAnsi="Times New Roman"/>
        </w:rPr>
      </w:pPr>
    </w:p>
    <w:p w:rsidR="00000000" w:rsidRDefault="008824AB">
      <w:pPr>
        <w:spacing w:line="239" w:lineRule="auto"/>
        <w:rPr>
          <w:rFonts w:ascii="Times New Roman" w:eastAsia="Times New Roman" w:hAnsi="Times New Roman"/>
          <w:sz w:val="26"/>
        </w:rPr>
      </w:pPr>
      <w:r>
        <w:rPr>
          <w:rFonts w:ascii="Times New Roman" w:eastAsia="Times New Roman" w:hAnsi="Times New Roman"/>
          <w:sz w:val="26"/>
        </w:rPr>
        <w:t>análisis jurisdiccional.</w:t>
      </w:r>
    </w:p>
    <w:p w:rsidR="00000000" w:rsidRDefault="008824AB">
      <w:pPr>
        <w:spacing w:line="153" w:lineRule="exact"/>
        <w:rPr>
          <w:rFonts w:ascii="Times New Roman" w:eastAsia="Times New Roman" w:hAnsi="Times New Roman"/>
        </w:rPr>
      </w:pPr>
    </w:p>
    <w:p w:rsidR="00000000" w:rsidRDefault="008824AB">
      <w:pPr>
        <w:spacing w:line="358" w:lineRule="auto"/>
        <w:ind w:right="100" w:firstLine="2837"/>
        <w:rPr>
          <w:rFonts w:ascii="Times New Roman" w:eastAsia="Times New Roman" w:hAnsi="Times New Roman"/>
          <w:sz w:val="26"/>
        </w:rPr>
      </w:pPr>
      <w:r>
        <w:rPr>
          <w:rFonts w:ascii="Times New Roman" w:eastAsia="Times New Roman" w:hAnsi="Times New Roman"/>
          <w:b/>
          <w:sz w:val="26"/>
        </w:rPr>
        <w:t xml:space="preserve">IV.b- </w:t>
      </w:r>
      <w:r>
        <w:rPr>
          <w:rFonts w:ascii="Times New Roman" w:eastAsia="Times New Roman" w:hAnsi="Times New Roman"/>
          <w:sz w:val="26"/>
        </w:rPr>
        <w:t>Sentado ello, es oportuno recordar que</w:t>
      </w:r>
      <w:r>
        <w:rPr>
          <w:rFonts w:ascii="Times New Roman" w:eastAsia="Times New Roman" w:hAnsi="Times New Roman"/>
          <w:b/>
          <w:sz w:val="26"/>
        </w:rPr>
        <w:t xml:space="preserve"> </w:t>
      </w:r>
      <w:r>
        <w:rPr>
          <w:rFonts w:ascii="Times New Roman" w:eastAsia="Times New Roman" w:hAnsi="Times New Roman"/>
          <w:sz w:val="26"/>
        </w:rPr>
        <w:t>la intervención del Banco Central de la República Argentina en el</w:t>
      </w:r>
    </w:p>
    <w:p w:rsidR="00000000" w:rsidRDefault="008824AB">
      <w:pPr>
        <w:spacing w:line="358" w:lineRule="auto"/>
        <w:ind w:right="100" w:firstLine="2837"/>
        <w:rPr>
          <w:rFonts w:ascii="Times New Roman" w:eastAsia="Times New Roman" w:hAnsi="Times New Roman"/>
          <w:sz w:val="26"/>
        </w:rPr>
        <w:sectPr w:rsidR="00000000">
          <w:pgSz w:w="11900" w:h="16840"/>
          <w:pgMar w:top="1440" w:right="3080" w:bottom="1440" w:left="1140" w:header="0" w:footer="0" w:gutter="0"/>
          <w:cols w:space="0" w:equalWidth="0">
            <w:col w:w="7680"/>
          </w:cols>
          <w:docGrid w:linePitch="360"/>
        </w:sectPr>
      </w:pPr>
    </w:p>
    <w:p w:rsidR="00000000" w:rsidRDefault="008824AB">
      <w:pPr>
        <w:spacing w:line="0" w:lineRule="atLeast"/>
        <w:ind w:left="440"/>
        <w:rPr>
          <w:sz w:val="24"/>
        </w:rPr>
      </w:pPr>
      <w:bookmarkStart w:id="6" w:name="page7"/>
      <w:bookmarkEnd w:id="6"/>
      <w:r>
        <w:rPr>
          <w:sz w:val="24"/>
        </w:rPr>
        <w:lastRenderedPageBreak/>
        <w:t>Año del Bicentenario de la Declaración de la Independencia Na</w:t>
      </w:r>
      <w:r>
        <w:rPr>
          <w:sz w:val="24"/>
        </w:rPr>
        <w:t>cional</w:t>
      </w:r>
    </w:p>
    <w:p w:rsidR="00000000" w:rsidRDefault="002D0F24">
      <w:pPr>
        <w:spacing w:line="200" w:lineRule="exact"/>
        <w:rPr>
          <w:rFonts w:ascii="Times New Roman" w:eastAsia="Times New Roman" w:hAnsi="Times New Roman"/>
        </w:rPr>
      </w:pPr>
      <w:r>
        <w:rPr>
          <w:noProof/>
          <w:sz w:val="24"/>
        </w:rPr>
        <w:drawing>
          <wp:anchor distT="0" distB="0" distL="114300" distR="114300" simplePos="0" relativeHeight="251636736" behindDoc="1" locked="0" layoutInCell="0" allowOverlap="1">
            <wp:simplePos x="0" y="0"/>
            <wp:positionH relativeFrom="column">
              <wp:posOffset>2213610</wp:posOffset>
            </wp:positionH>
            <wp:positionV relativeFrom="paragraph">
              <wp:posOffset>50800</wp:posOffset>
            </wp:positionV>
            <wp:extent cx="374650" cy="575945"/>
            <wp:effectExtent l="19050" t="0" r="635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374650" cy="575945"/>
                    </a:xfrm>
                    <a:prstGeom prst="rect">
                      <a:avLst/>
                    </a:prstGeom>
                    <a:noFill/>
                  </pic:spPr>
                </pic:pic>
              </a:graphicData>
            </a:graphic>
          </wp:anchor>
        </w:drawing>
      </w: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45" w:lineRule="exact"/>
        <w:rPr>
          <w:rFonts w:ascii="Times New Roman" w:eastAsia="Times New Roman" w:hAnsi="Times New Roman"/>
        </w:rPr>
      </w:pPr>
    </w:p>
    <w:p w:rsidR="00000000" w:rsidRDefault="008824AB">
      <w:pPr>
        <w:spacing w:line="0" w:lineRule="atLeast"/>
        <w:ind w:left="2240"/>
        <w:rPr>
          <w:rFonts w:ascii="Times New Roman" w:eastAsia="Times New Roman" w:hAnsi="Times New Roman"/>
          <w:sz w:val="28"/>
        </w:rPr>
      </w:pPr>
      <w:r>
        <w:rPr>
          <w:rFonts w:ascii="Times New Roman" w:eastAsia="Times New Roman" w:hAnsi="Times New Roman"/>
          <w:sz w:val="28"/>
        </w:rPr>
        <w:t>Poder Judicial de la Nación</w:t>
      </w:r>
    </w:p>
    <w:p w:rsidR="00000000" w:rsidRDefault="008824AB">
      <w:pPr>
        <w:spacing w:line="129" w:lineRule="exact"/>
        <w:rPr>
          <w:rFonts w:ascii="Times New Roman" w:eastAsia="Times New Roman" w:hAnsi="Times New Roman"/>
        </w:rPr>
      </w:pPr>
    </w:p>
    <w:p w:rsidR="00000000" w:rsidRDefault="008824AB">
      <w:pPr>
        <w:spacing w:line="239" w:lineRule="auto"/>
        <w:ind w:left="2680"/>
        <w:rPr>
          <w:rFonts w:ascii="Times New Roman" w:eastAsia="Times New Roman" w:hAnsi="Times New Roman"/>
          <w:sz w:val="18"/>
        </w:rPr>
      </w:pPr>
      <w:r>
        <w:rPr>
          <w:rFonts w:ascii="Times New Roman" w:eastAsia="Times New Roman" w:hAnsi="Times New Roman"/>
          <w:sz w:val="18"/>
        </w:rPr>
        <w:t>CAMARA CRIMINAL Y CORRECCIONAL FEDERAL - SALA 2</w:t>
      </w:r>
    </w:p>
    <w:p w:rsidR="00000000" w:rsidRDefault="008824AB">
      <w:pPr>
        <w:spacing w:line="239" w:lineRule="auto"/>
        <w:ind w:left="5740"/>
        <w:rPr>
          <w:rFonts w:ascii="Times New Roman" w:eastAsia="Times New Roman" w:hAnsi="Times New Roman"/>
          <w:sz w:val="18"/>
        </w:rPr>
      </w:pPr>
      <w:r>
        <w:rPr>
          <w:rFonts w:ascii="Times New Roman" w:eastAsia="Times New Roman" w:hAnsi="Times New Roman"/>
          <w:sz w:val="18"/>
        </w:rPr>
        <w:t>CFP 12152/2015/27/CA5</w:t>
      </w:r>
    </w:p>
    <w:p w:rsidR="00000000" w:rsidRDefault="008824AB">
      <w:pPr>
        <w:spacing w:line="293" w:lineRule="exact"/>
        <w:rPr>
          <w:rFonts w:ascii="Times New Roman" w:eastAsia="Times New Roman" w:hAnsi="Times New Roman"/>
        </w:rPr>
      </w:pPr>
    </w:p>
    <w:p w:rsidR="00000000" w:rsidRDefault="008824AB">
      <w:pPr>
        <w:spacing w:line="357" w:lineRule="auto"/>
        <w:rPr>
          <w:rFonts w:ascii="Times New Roman" w:eastAsia="Times New Roman" w:hAnsi="Times New Roman"/>
          <w:sz w:val="26"/>
        </w:rPr>
      </w:pPr>
      <w:r>
        <w:rPr>
          <w:rFonts w:ascii="Times New Roman" w:eastAsia="Times New Roman" w:hAnsi="Times New Roman"/>
          <w:sz w:val="26"/>
        </w:rPr>
        <w:t>mercado de futuros se remonta al año 2005, oportunidad en la cual -y, debe decirse, no sin objeciones por parte del área legal- el Directorio d</w:t>
      </w:r>
      <w:r>
        <w:rPr>
          <w:rFonts w:ascii="Times New Roman" w:eastAsia="Times New Roman" w:hAnsi="Times New Roman"/>
          <w:sz w:val="26"/>
        </w:rPr>
        <w:t>ecidió participar en el Mercado a Término de Rosario SA -en adelante ROFEX-, incorporándose luego al Mercado Abierto Electrónico SA -de seguido, MAE-.</w:t>
      </w:r>
    </w:p>
    <w:p w:rsidR="00000000" w:rsidRDefault="008824AB">
      <w:pPr>
        <w:spacing w:line="18" w:lineRule="exact"/>
        <w:rPr>
          <w:rFonts w:ascii="Times New Roman" w:eastAsia="Times New Roman" w:hAnsi="Times New Roman"/>
        </w:rPr>
      </w:pPr>
    </w:p>
    <w:p w:rsidR="00000000" w:rsidRDefault="008824AB">
      <w:pPr>
        <w:spacing w:line="359" w:lineRule="auto"/>
        <w:ind w:firstLine="2837"/>
        <w:rPr>
          <w:rFonts w:ascii="Times New Roman" w:eastAsia="Times New Roman" w:hAnsi="Times New Roman"/>
          <w:sz w:val="26"/>
        </w:rPr>
      </w:pPr>
      <w:r>
        <w:rPr>
          <w:rFonts w:ascii="Times New Roman" w:eastAsia="Times New Roman" w:hAnsi="Times New Roman"/>
          <w:sz w:val="26"/>
        </w:rPr>
        <w:t>Dadas sus particularidades y su finalidad reguladora, se impusieron ciertas limitaciones a su actuación</w:t>
      </w:r>
      <w:r>
        <w:rPr>
          <w:rFonts w:ascii="Times New Roman" w:eastAsia="Times New Roman" w:hAnsi="Times New Roman"/>
          <w:sz w:val="26"/>
        </w:rPr>
        <w:t xml:space="preserve">: en el Informe 465/7 elaborado el 3 de junio de 2005 por la Gerencia Principal de Operaciones de Mercado, se sostuvo que </w:t>
      </w:r>
      <w:r>
        <w:rPr>
          <w:rFonts w:ascii="Times New Roman" w:eastAsia="Times New Roman" w:hAnsi="Times New Roman"/>
          <w:sz w:val="26"/>
        </w:rPr>
        <w:t xml:space="preserve">“ </w:t>
      </w:r>
      <w:r>
        <w:rPr>
          <w:rFonts w:ascii="Times New Roman" w:eastAsia="Times New Roman" w:hAnsi="Times New Roman"/>
          <w:i/>
          <w:sz w:val="26"/>
        </w:rPr>
        <w:t>…Las operaciones que</w:t>
      </w:r>
      <w:r>
        <w:rPr>
          <w:rFonts w:ascii="Times New Roman" w:eastAsia="Times New Roman" w:hAnsi="Times New Roman"/>
          <w:sz w:val="26"/>
        </w:rPr>
        <w:t xml:space="preserve"> </w:t>
      </w:r>
      <w:r>
        <w:rPr>
          <w:rFonts w:ascii="Times New Roman" w:eastAsia="Times New Roman" w:hAnsi="Times New Roman"/>
          <w:i/>
          <w:sz w:val="26"/>
        </w:rPr>
        <w:t>pudiera realizar este Banco no deberían ser disruptivas en ese mercado, ya que no quisiéramos ser la única cont</w:t>
      </w:r>
      <w:r>
        <w:rPr>
          <w:rFonts w:ascii="Times New Roman" w:eastAsia="Times New Roman" w:hAnsi="Times New Roman"/>
          <w:i/>
          <w:sz w:val="26"/>
        </w:rPr>
        <w:t>raparte de un lado del mercado (por ejemplo, como compradores de divisas a futuro), sino que deberíamos ser un actor más (aunque importante) en una de las puntas (o eventualmente ambas). Por ello, se propone que en esta etapa inicial las posiciones abierta</w:t>
      </w:r>
      <w:r>
        <w:rPr>
          <w:rFonts w:ascii="Times New Roman" w:eastAsia="Times New Roman" w:hAnsi="Times New Roman"/>
          <w:i/>
          <w:sz w:val="26"/>
        </w:rPr>
        <w:t>s del banco central se limiten a los USD 40 millones, coincidiendo con el tamaño diario del mercado…</w:t>
      </w:r>
      <w:r>
        <w:rPr>
          <w:rFonts w:ascii="Times New Roman" w:eastAsia="Times New Roman" w:hAnsi="Times New Roman"/>
          <w:i/>
          <w:sz w:val="26"/>
        </w:rPr>
        <w:t xml:space="preserve">” </w:t>
      </w:r>
      <w:r>
        <w:rPr>
          <w:rFonts w:ascii="Times New Roman" w:eastAsia="Times New Roman" w:hAnsi="Times New Roman"/>
          <w:sz w:val="26"/>
        </w:rPr>
        <w:t>-obrante a</w:t>
      </w:r>
      <w:r>
        <w:rPr>
          <w:rFonts w:ascii="Times New Roman" w:eastAsia="Times New Roman" w:hAnsi="Times New Roman"/>
          <w:i/>
          <w:sz w:val="26"/>
        </w:rPr>
        <w:t xml:space="preserve"> </w:t>
      </w:r>
      <w:r>
        <w:rPr>
          <w:rFonts w:ascii="Times New Roman" w:eastAsia="Times New Roman" w:hAnsi="Times New Roman"/>
          <w:sz w:val="26"/>
        </w:rPr>
        <w:t>fs. 307/12 del expediente 018/20/2005, reservado en caja azul n° 7-,</w:t>
      </w:r>
    </w:p>
    <w:p w:rsidR="00000000" w:rsidRDefault="008824AB">
      <w:pPr>
        <w:spacing w:line="14" w:lineRule="exact"/>
        <w:rPr>
          <w:rFonts w:ascii="Times New Roman" w:eastAsia="Times New Roman" w:hAnsi="Times New Roman"/>
        </w:rPr>
      </w:pPr>
    </w:p>
    <w:p w:rsidR="00000000" w:rsidRDefault="008824AB">
      <w:pPr>
        <w:spacing w:line="357" w:lineRule="auto"/>
        <w:ind w:right="120" w:firstLine="2837"/>
        <w:rPr>
          <w:rFonts w:ascii="Times New Roman" w:eastAsia="Times New Roman" w:hAnsi="Times New Roman"/>
          <w:sz w:val="26"/>
        </w:rPr>
      </w:pPr>
      <w:r>
        <w:rPr>
          <w:rFonts w:ascii="Times New Roman" w:eastAsia="Times New Roman" w:hAnsi="Times New Roman"/>
          <w:sz w:val="26"/>
        </w:rPr>
        <w:t>Los motivos fueron sintetizados por la Gerencia de Análisis del Sistema a</w:t>
      </w:r>
      <w:r>
        <w:rPr>
          <w:rFonts w:ascii="Times New Roman" w:eastAsia="Times New Roman" w:hAnsi="Times New Roman"/>
          <w:sz w:val="26"/>
        </w:rPr>
        <w:t xml:space="preserve">l señalar que </w:t>
      </w:r>
      <w:r>
        <w:rPr>
          <w:rFonts w:ascii="Times New Roman" w:eastAsia="Times New Roman" w:hAnsi="Times New Roman"/>
          <w:i/>
          <w:sz w:val="26"/>
        </w:rPr>
        <w:t>…</w:t>
      </w:r>
      <w:r>
        <w:rPr>
          <w:rFonts w:ascii="Times New Roman" w:eastAsia="Times New Roman" w:hAnsi="Times New Roman"/>
          <w:sz w:val="26"/>
        </w:rPr>
        <w:t>“</w:t>
      </w:r>
      <w:r>
        <w:rPr>
          <w:rFonts w:ascii="Times New Roman" w:eastAsia="Times New Roman" w:hAnsi="Times New Roman"/>
          <w:i/>
          <w:sz w:val="26"/>
        </w:rPr>
        <w:t>El objetivo de poner</w:t>
      </w:r>
      <w:r>
        <w:rPr>
          <w:rFonts w:ascii="Times New Roman" w:eastAsia="Times New Roman" w:hAnsi="Times New Roman"/>
          <w:sz w:val="26"/>
        </w:rPr>
        <w:t xml:space="preserve"> </w:t>
      </w:r>
      <w:r>
        <w:rPr>
          <w:rFonts w:ascii="Times New Roman" w:eastAsia="Times New Roman" w:hAnsi="Times New Roman"/>
          <w:i/>
          <w:sz w:val="26"/>
        </w:rPr>
        <w:t>límites de operaciones por agente es impedir manipulaciones de mercado, situación por lo cual la intervención del BCRA en este contexto debería limitarse a lo expuesto…</w:t>
      </w:r>
      <w:r>
        <w:rPr>
          <w:rFonts w:ascii="Times New Roman" w:eastAsia="Times New Roman" w:hAnsi="Times New Roman"/>
          <w:sz w:val="26"/>
        </w:rPr>
        <w:t>” -informe n° 342/176/05,</w:t>
      </w:r>
      <w:r>
        <w:rPr>
          <w:rFonts w:ascii="Times New Roman" w:eastAsia="Times New Roman" w:hAnsi="Times New Roman"/>
          <w:i/>
          <w:sz w:val="26"/>
        </w:rPr>
        <w:t xml:space="preserve"> </w:t>
      </w:r>
      <w:r>
        <w:rPr>
          <w:rFonts w:ascii="Times New Roman" w:eastAsia="Times New Roman" w:hAnsi="Times New Roman"/>
          <w:sz w:val="26"/>
        </w:rPr>
        <w:t>glosado a fs. 321 del cit</w:t>
      </w:r>
      <w:r>
        <w:rPr>
          <w:rFonts w:ascii="Times New Roman" w:eastAsia="Times New Roman" w:hAnsi="Times New Roman"/>
          <w:sz w:val="26"/>
        </w:rPr>
        <w:t>ado expediente-.</w:t>
      </w:r>
    </w:p>
    <w:p w:rsidR="00000000" w:rsidRDefault="008824AB">
      <w:pPr>
        <w:spacing w:line="22" w:lineRule="exact"/>
        <w:rPr>
          <w:rFonts w:ascii="Times New Roman" w:eastAsia="Times New Roman" w:hAnsi="Times New Roman"/>
        </w:rPr>
      </w:pPr>
    </w:p>
    <w:p w:rsidR="00000000" w:rsidRDefault="008824AB">
      <w:pPr>
        <w:spacing w:line="357" w:lineRule="auto"/>
        <w:ind w:right="100" w:firstLine="2837"/>
        <w:rPr>
          <w:rFonts w:ascii="Times New Roman" w:eastAsia="Times New Roman" w:hAnsi="Times New Roman"/>
          <w:sz w:val="26"/>
        </w:rPr>
      </w:pPr>
      <w:r>
        <w:rPr>
          <w:rFonts w:ascii="Times New Roman" w:eastAsia="Times New Roman" w:hAnsi="Times New Roman"/>
          <w:sz w:val="26"/>
        </w:rPr>
        <w:t xml:space="preserve">Con dichos alcances y con el objetivo de </w:t>
      </w:r>
      <w:r>
        <w:rPr>
          <w:rFonts w:ascii="Times New Roman" w:eastAsia="Times New Roman" w:hAnsi="Times New Roman"/>
          <w:sz w:val="26"/>
        </w:rPr>
        <w:t xml:space="preserve">“… </w:t>
      </w:r>
      <w:r>
        <w:rPr>
          <w:rFonts w:ascii="Times New Roman" w:eastAsia="Times New Roman" w:hAnsi="Times New Roman"/>
          <w:i/>
          <w:sz w:val="26"/>
        </w:rPr>
        <w:t>atemporizar los efectos cíclicos que presenten la oferta y la</w:t>
      </w:r>
      <w:r>
        <w:rPr>
          <w:rFonts w:ascii="Times New Roman" w:eastAsia="Times New Roman" w:hAnsi="Times New Roman"/>
          <w:sz w:val="26"/>
        </w:rPr>
        <w:t xml:space="preserve"> </w:t>
      </w:r>
      <w:r>
        <w:rPr>
          <w:rFonts w:ascii="Times New Roman" w:eastAsia="Times New Roman" w:hAnsi="Times New Roman"/>
          <w:i/>
          <w:sz w:val="26"/>
        </w:rPr>
        <w:t>demanda de divisas…</w:t>
      </w:r>
      <w:r>
        <w:rPr>
          <w:rFonts w:ascii="Times New Roman" w:eastAsia="Times New Roman" w:hAnsi="Times New Roman"/>
          <w:sz w:val="26"/>
        </w:rPr>
        <w:t>”, el Directorio de la entidad dictó las</w:t>
      </w:r>
      <w:r>
        <w:rPr>
          <w:rFonts w:ascii="Times New Roman" w:eastAsia="Times New Roman" w:hAnsi="Times New Roman"/>
          <w:i/>
          <w:sz w:val="26"/>
        </w:rPr>
        <w:t xml:space="preserve"> </w:t>
      </w:r>
      <w:r>
        <w:rPr>
          <w:rFonts w:ascii="Times New Roman" w:eastAsia="Times New Roman" w:hAnsi="Times New Roman"/>
          <w:sz w:val="26"/>
        </w:rPr>
        <w:t>Resoluciones n° 181 y 375 aprobatorias de la participación del BCRA en</w:t>
      </w:r>
    </w:p>
    <w:p w:rsidR="00000000" w:rsidRDefault="008824AB">
      <w:pPr>
        <w:spacing w:line="357" w:lineRule="auto"/>
        <w:ind w:right="100" w:firstLine="2837"/>
        <w:rPr>
          <w:rFonts w:ascii="Times New Roman" w:eastAsia="Times New Roman" w:hAnsi="Times New Roman"/>
          <w:sz w:val="26"/>
        </w:rPr>
        <w:sectPr w:rsidR="00000000">
          <w:pgSz w:w="11900" w:h="16840"/>
          <w:pgMar w:top="373" w:right="1020" w:bottom="1440" w:left="3200" w:header="0" w:footer="0" w:gutter="0"/>
          <w:cols w:space="0" w:equalWidth="0">
            <w:col w:w="7680"/>
          </w:cols>
          <w:docGrid w:linePitch="360"/>
        </w:sectPr>
      </w:pPr>
    </w:p>
    <w:p w:rsidR="00000000" w:rsidRDefault="008824AB">
      <w:pPr>
        <w:spacing w:line="200" w:lineRule="exact"/>
        <w:rPr>
          <w:rFonts w:ascii="Times New Roman" w:eastAsia="Times New Roman" w:hAnsi="Times New Roman"/>
        </w:rPr>
      </w:pPr>
      <w:bookmarkStart w:id="7" w:name="page8"/>
      <w:bookmarkEnd w:id="7"/>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27" w:lineRule="exact"/>
        <w:rPr>
          <w:rFonts w:ascii="Times New Roman" w:eastAsia="Times New Roman" w:hAnsi="Times New Roman"/>
        </w:rPr>
      </w:pPr>
    </w:p>
    <w:p w:rsidR="00000000" w:rsidRDefault="008824AB">
      <w:pPr>
        <w:spacing w:line="354" w:lineRule="auto"/>
        <w:ind w:right="140"/>
        <w:jc w:val="both"/>
        <w:rPr>
          <w:rFonts w:ascii="Times New Roman" w:eastAsia="Times New Roman" w:hAnsi="Times New Roman"/>
          <w:sz w:val="26"/>
        </w:rPr>
      </w:pPr>
      <w:r>
        <w:rPr>
          <w:rFonts w:ascii="Times New Roman" w:eastAsia="Times New Roman" w:hAnsi="Times New Roman"/>
          <w:sz w:val="26"/>
        </w:rPr>
        <w:t>el Mercado a Término de Rosario SA. -ROFEX- y en la rueda de operaciones concertadas a término del Mercado Abierto Electrónico SA-MAE-.</w:t>
      </w:r>
    </w:p>
    <w:p w:rsidR="00000000" w:rsidRDefault="008824AB">
      <w:pPr>
        <w:spacing w:line="21" w:lineRule="exact"/>
        <w:rPr>
          <w:rFonts w:ascii="Times New Roman" w:eastAsia="Times New Roman" w:hAnsi="Times New Roman"/>
        </w:rPr>
      </w:pPr>
    </w:p>
    <w:p w:rsidR="00000000" w:rsidRDefault="008824AB">
      <w:pPr>
        <w:spacing w:line="359" w:lineRule="auto"/>
        <w:ind w:right="140" w:firstLine="2901"/>
        <w:rPr>
          <w:rFonts w:ascii="Times New Roman" w:eastAsia="Times New Roman" w:hAnsi="Times New Roman"/>
          <w:sz w:val="26"/>
        </w:rPr>
      </w:pPr>
      <w:r>
        <w:rPr>
          <w:rFonts w:ascii="Times New Roman" w:eastAsia="Times New Roman" w:hAnsi="Times New Roman"/>
          <w:sz w:val="26"/>
        </w:rPr>
        <w:t>Las particularidades fueron también recogidas en el texto del convenio firmado por el BCRA y el ROFEX el 9 de j</w:t>
      </w:r>
      <w:r>
        <w:rPr>
          <w:rFonts w:ascii="Times New Roman" w:eastAsia="Times New Roman" w:hAnsi="Times New Roman"/>
          <w:sz w:val="26"/>
        </w:rPr>
        <w:t xml:space="preserve">unio de 2005 (ver fs. 353/4) en tanto en su artículo 10 estableció que </w:t>
      </w:r>
      <w:r>
        <w:rPr>
          <w:rFonts w:ascii="Times New Roman" w:eastAsia="Times New Roman" w:hAnsi="Times New Roman"/>
          <w:sz w:val="26"/>
        </w:rPr>
        <w:t xml:space="preserve">“ </w:t>
      </w:r>
      <w:r>
        <w:rPr>
          <w:rFonts w:ascii="Times New Roman" w:eastAsia="Times New Roman" w:hAnsi="Times New Roman"/>
          <w:i/>
          <w:sz w:val="26"/>
        </w:rPr>
        <w:t>…el BCRA respetará y se atendrá en todo momento a las</w:t>
      </w:r>
      <w:r>
        <w:rPr>
          <w:rFonts w:ascii="Times New Roman" w:eastAsia="Times New Roman" w:hAnsi="Times New Roman"/>
          <w:sz w:val="26"/>
        </w:rPr>
        <w:t xml:space="preserve"> </w:t>
      </w:r>
      <w:r>
        <w:rPr>
          <w:rFonts w:ascii="Times New Roman" w:eastAsia="Times New Roman" w:hAnsi="Times New Roman"/>
          <w:i/>
          <w:sz w:val="26"/>
        </w:rPr>
        <w:t>disposiciones referidas a la integración de garantías y límites a las posiciones abiertas…</w:t>
      </w:r>
      <w:r>
        <w:rPr>
          <w:rFonts w:ascii="Times New Roman" w:eastAsia="Times New Roman" w:hAnsi="Times New Roman"/>
          <w:sz w:val="26"/>
        </w:rPr>
        <w:t xml:space="preserve">”, indicándose en su artículo 11 que </w:t>
      </w:r>
      <w:r>
        <w:rPr>
          <w:rFonts w:ascii="Times New Roman" w:eastAsia="Times New Roman" w:hAnsi="Times New Roman"/>
          <w:sz w:val="26"/>
        </w:rPr>
        <w:t>“</w:t>
      </w:r>
      <w:r>
        <w:rPr>
          <w:rFonts w:ascii="Times New Roman" w:eastAsia="Times New Roman" w:hAnsi="Times New Roman"/>
          <w:i/>
          <w:sz w:val="26"/>
        </w:rPr>
        <w:t xml:space="preserve"> </w:t>
      </w:r>
      <w:r>
        <w:rPr>
          <w:rFonts w:ascii="Times New Roman" w:eastAsia="Times New Roman" w:hAnsi="Times New Roman"/>
          <w:i/>
          <w:sz w:val="26"/>
        </w:rPr>
        <w:t>…en virtud de la potestad de ente regulador de la moneda y el crédito que recae sobre el BCRA, en miras del cumplimiento de su misión de preservar el valor de la moneda, ROFEX reconoce expresamente que las operaciones que aquel realice con la finalidad exp</w:t>
      </w:r>
      <w:r>
        <w:rPr>
          <w:rFonts w:ascii="Times New Roman" w:eastAsia="Times New Roman" w:hAnsi="Times New Roman"/>
          <w:i/>
          <w:sz w:val="26"/>
        </w:rPr>
        <w:t>uesta no configuran bajo ningún concepto una manipulación del mercado en los términos del artículo 124 del Reglamento Interno del ROFEX…</w:t>
      </w:r>
      <w:r>
        <w:rPr>
          <w:rFonts w:ascii="Times New Roman" w:eastAsia="Times New Roman" w:hAnsi="Times New Roman"/>
          <w:sz w:val="26"/>
        </w:rPr>
        <w:t>”.</w:t>
      </w:r>
    </w:p>
    <w:p w:rsidR="00000000" w:rsidRDefault="008824AB">
      <w:pPr>
        <w:spacing w:line="14" w:lineRule="exact"/>
        <w:rPr>
          <w:rFonts w:ascii="Times New Roman" w:eastAsia="Times New Roman" w:hAnsi="Times New Roman"/>
        </w:rPr>
      </w:pPr>
    </w:p>
    <w:p w:rsidR="00000000" w:rsidRDefault="008824AB">
      <w:pPr>
        <w:spacing w:line="355" w:lineRule="auto"/>
        <w:ind w:firstLine="2837"/>
        <w:rPr>
          <w:rFonts w:ascii="Times New Roman" w:eastAsia="Times New Roman" w:hAnsi="Times New Roman"/>
          <w:i/>
          <w:sz w:val="26"/>
        </w:rPr>
      </w:pPr>
      <w:r>
        <w:rPr>
          <w:rFonts w:ascii="Times New Roman" w:eastAsia="Times New Roman" w:hAnsi="Times New Roman"/>
          <w:sz w:val="26"/>
        </w:rPr>
        <w:t xml:space="preserve">Este último reza </w:t>
      </w:r>
      <w:r>
        <w:rPr>
          <w:rFonts w:ascii="Times New Roman" w:eastAsia="Times New Roman" w:hAnsi="Times New Roman"/>
          <w:sz w:val="26"/>
        </w:rPr>
        <w:t>“</w:t>
      </w:r>
      <w:r>
        <w:rPr>
          <w:rFonts w:ascii="Times New Roman" w:eastAsia="Times New Roman" w:hAnsi="Times New Roman"/>
          <w:i/>
          <w:sz w:val="26"/>
        </w:rPr>
        <w:t>…Todo participante en el</w:t>
      </w:r>
      <w:r>
        <w:rPr>
          <w:rFonts w:ascii="Times New Roman" w:eastAsia="Times New Roman" w:hAnsi="Times New Roman"/>
          <w:sz w:val="26"/>
        </w:rPr>
        <w:t xml:space="preserve"> </w:t>
      </w:r>
      <w:r>
        <w:rPr>
          <w:rFonts w:ascii="Times New Roman" w:eastAsia="Times New Roman" w:hAnsi="Times New Roman"/>
          <w:i/>
          <w:sz w:val="26"/>
        </w:rPr>
        <w:t xml:space="preserve">Mercado deberá abstenerse de realizar prácticas o conductas que permitan </w:t>
      </w:r>
      <w:r>
        <w:rPr>
          <w:rFonts w:ascii="Times New Roman" w:eastAsia="Times New Roman" w:hAnsi="Times New Roman"/>
          <w:i/>
          <w:sz w:val="26"/>
        </w:rPr>
        <w:t>la manipulación de precios de Futuros y Opciones o defraudar</w:t>
      </w:r>
    </w:p>
    <w:p w:rsidR="00000000" w:rsidRDefault="008824AB">
      <w:pPr>
        <w:spacing w:line="24" w:lineRule="exact"/>
        <w:rPr>
          <w:rFonts w:ascii="Times New Roman" w:eastAsia="Times New Roman" w:hAnsi="Times New Roman"/>
        </w:rPr>
      </w:pPr>
    </w:p>
    <w:p w:rsidR="00000000" w:rsidRDefault="008824AB">
      <w:pPr>
        <w:spacing w:line="357" w:lineRule="auto"/>
        <w:ind w:right="40"/>
        <w:rPr>
          <w:rFonts w:ascii="Times New Roman" w:eastAsia="Times New Roman" w:hAnsi="Times New Roman"/>
          <w:i/>
          <w:sz w:val="26"/>
        </w:rPr>
      </w:pPr>
      <w:r>
        <w:rPr>
          <w:rFonts w:ascii="Times New Roman" w:eastAsia="Times New Roman" w:hAnsi="Times New Roman"/>
          <w:i/>
          <w:sz w:val="26"/>
        </w:rPr>
        <w:t>a cualquier interviniente en dicho Mercado. Quedan comprendidas entre dichas conductas cualquier acto por el cual se pretenda: a. afectar artificialmente la formación de precios, cotización, liq</w:t>
      </w:r>
      <w:r>
        <w:rPr>
          <w:rFonts w:ascii="Times New Roman" w:eastAsia="Times New Roman" w:hAnsi="Times New Roman"/>
          <w:i/>
          <w:sz w:val="26"/>
        </w:rPr>
        <w:t>uidez o el volumen negociado de uno o más Futuros y opciones; b. Inducir a error a cualquier participante en el Mercado mediante declaraciones falsas producidas con conocimiento de su carácter inexacto o a través de la omisión de información cuando estén o</w:t>
      </w:r>
      <w:r>
        <w:rPr>
          <w:rFonts w:ascii="Times New Roman" w:eastAsia="Times New Roman" w:hAnsi="Times New Roman"/>
          <w:i/>
          <w:sz w:val="26"/>
        </w:rPr>
        <w:t>bligados a prestarla…</w:t>
      </w:r>
      <w:r>
        <w:rPr>
          <w:rFonts w:ascii="Times New Roman" w:eastAsia="Times New Roman" w:hAnsi="Times New Roman"/>
          <w:i/>
          <w:sz w:val="26"/>
        </w:rPr>
        <w:t>”.</w:t>
      </w:r>
    </w:p>
    <w:p w:rsidR="00000000" w:rsidRDefault="008824AB">
      <w:pPr>
        <w:spacing w:line="22" w:lineRule="exact"/>
        <w:rPr>
          <w:rFonts w:ascii="Times New Roman" w:eastAsia="Times New Roman" w:hAnsi="Times New Roman"/>
        </w:rPr>
      </w:pPr>
    </w:p>
    <w:p w:rsidR="00000000" w:rsidRDefault="008824AB">
      <w:pPr>
        <w:spacing w:line="350" w:lineRule="auto"/>
        <w:ind w:right="160" w:firstLine="2837"/>
        <w:rPr>
          <w:rFonts w:ascii="Times New Roman" w:eastAsia="Times New Roman" w:hAnsi="Times New Roman"/>
          <w:sz w:val="26"/>
        </w:rPr>
      </w:pPr>
      <w:r>
        <w:rPr>
          <w:rFonts w:ascii="Times New Roman" w:eastAsia="Times New Roman" w:hAnsi="Times New Roman"/>
          <w:sz w:val="26"/>
        </w:rPr>
        <w:t xml:space="preserve">Durante los años siguientes fueron aumentándose paulatinamente los límites a las posiciones abiertas </w:t>
      </w:r>
      <w:r>
        <w:rPr>
          <w:rFonts w:ascii="Times New Roman" w:eastAsia="Times New Roman" w:hAnsi="Times New Roman"/>
          <w:sz w:val="26"/>
        </w:rPr>
        <w:t>–conf.</w:t>
      </w:r>
    </w:p>
    <w:p w:rsidR="00000000" w:rsidRDefault="008824AB">
      <w:pPr>
        <w:spacing w:line="350" w:lineRule="auto"/>
        <w:ind w:right="160" w:firstLine="2837"/>
        <w:rPr>
          <w:rFonts w:ascii="Times New Roman" w:eastAsia="Times New Roman" w:hAnsi="Times New Roman"/>
          <w:sz w:val="26"/>
        </w:rPr>
        <w:sectPr w:rsidR="00000000">
          <w:pgSz w:w="11900" w:h="16840"/>
          <w:pgMar w:top="1440" w:right="2980" w:bottom="1440" w:left="1140" w:header="0" w:footer="0" w:gutter="0"/>
          <w:cols w:space="0" w:equalWidth="0">
            <w:col w:w="7780"/>
          </w:cols>
          <w:docGrid w:linePitch="360"/>
        </w:sectPr>
      </w:pPr>
    </w:p>
    <w:p w:rsidR="00000000" w:rsidRDefault="008824AB">
      <w:pPr>
        <w:spacing w:line="0" w:lineRule="atLeast"/>
        <w:ind w:left="440"/>
        <w:rPr>
          <w:sz w:val="24"/>
        </w:rPr>
      </w:pPr>
      <w:bookmarkStart w:id="8" w:name="page9"/>
      <w:bookmarkEnd w:id="8"/>
      <w:r>
        <w:rPr>
          <w:sz w:val="24"/>
        </w:rPr>
        <w:lastRenderedPageBreak/>
        <w:t>Año del Bicentenario de la Declaración de la Independencia Nacional</w:t>
      </w:r>
    </w:p>
    <w:p w:rsidR="00000000" w:rsidRDefault="002D0F24">
      <w:pPr>
        <w:spacing w:line="200" w:lineRule="exact"/>
        <w:rPr>
          <w:rFonts w:ascii="Times New Roman" w:eastAsia="Times New Roman" w:hAnsi="Times New Roman"/>
        </w:rPr>
      </w:pPr>
      <w:r>
        <w:rPr>
          <w:noProof/>
          <w:sz w:val="24"/>
        </w:rPr>
        <w:drawing>
          <wp:anchor distT="0" distB="0" distL="114300" distR="114300" simplePos="0" relativeHeight="251639808" behindDoc="1" locked="0" layoutInCell="0" allowOverlap="1">
            <wp:simplePos x="0" y="0"/>
            <wp:positionH relativeFrom="column">
              <wp:posOffset>2213610</wp:posOffset>
            </wp:positionH>
            <wp:positionV relativeFrom="paragraph">
              <wp:posOffset>50800</wp:posOffset>
            </wp:positionV>
            <wp:extent cx="374650" cy="575945"/>
            <wp:effectExtent l="19050" t="0" r="635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srcRect/>
                    <a:stretch>
                      <a:fillRect/>
                    </a:stretch>
                  </pic:blipFill>
                  <pic:spPr bwMode="auto">
                    <a:xfrm>
                      <a:off x="0" y="0"/>
                      <a:ext cx="374650" cy="575945"/>
                    </a:xfrm>
                    <a:prstGeom prst="rect">
                      <a:avLst/>
                    </a:prstGeom>
                    <a:noFill/>
                  </pic:spPr>
                </pic:pic>
              </a:graphicData>
            </a:graphic>
          </wp:anchor>
        </w:drawing>
      </w: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45" w:lineRule="exact"/>
        <w:rPr>
          <w:rFonts w:ascii="Times New Roman" w:eastAsia="Times New Roman" w:hAnsi="Times New Roman"/>
        </w:rPr>
      </w:pPr>
    </w:p>
    <w:p w:rsidR="00000000" w:rsidRDefault="008824AB">
      <w:pPr>
        <w:spacing w:line="0" w:lineRule="atLeast"/>
        <w:ind w:left="2240"/>
        <w:rPr>
          <w:rFonts w:ascii="Times New Roman" w:eastAsia="Times New Roman" w:hAnsi="Times New Roman"/>
          <w:sz w:val="28"/>
        </w:rPr>
      </w:pPr>
      <w:r>
        <w:rPr>
          <w:rFonts w:ascii="Times New Roman" w:eastAsia="Times New Roman" w:hAnsi="Times New Roman"/>
          <w:sz w:val="28"/>
        </w:rPr>
        <w:t>Poder Judicial de la Nación</w:t>
      </w:r>
    </w:p>
    <w:p w:rsidR="00000000" w:rsidRDefault="008824AB">
      <w:pPr>
        <w:spacing w:line="129" w:lineRule="exact"/>
        <w:rPr>
          <w:rFonts w:ascii="Times New Roman" w:eastAsia="Times New Roman" w:hAnsi="Times New Roman"/>
        </w:rPr>
      </w:pPr>
    </w:p>
    <w:p w:rsidR="00000000" w:rsidRDefault="008824AB">
      <w:pPr>
        <w:spacing w:line="239" w:lineRule="auto"/>
        <w:ind w:left="2680"/>
        <w:rPr>
          <w:rFonts w:ascii="Times New Roman" w:eastAsia="Times New Roman" w:hAnsi="Times New Roman"/>
          <w:sz w:val="18"/>
        </w:rPr>
      </w:pPr>
      <w:r>
        <w:rPr>
          <w:rFonts w:ascii="Times New Roman" w:eastAsia="Times New Roman" w:hAnsi="Times New Roman"/>
          <w:sz w:val="18"/>
        </w:rPr>
        <w:t>CAMARA CRIMINAL Y C</w:t>
      </w:r>
      <w:r>
        <w:rPr>
          <w:rFonts w:ascii="Times New Roman" w:eastAsia="Times New Roman" w:hAnsi="Times New Roman"/>
          <w:sz w:val="18"/>
        </w:rPr>
        <w:t>ORRECCIONAL FEDERAL - SALA 2</w:t>
      </w:r>
    </w:p>
    <w:p w:rsidR="00000000" w:rsidRDefault="008824AB">
      <w:pPr>
        <w:spacing w:line="239" w:lineRule="auto"/>
        <w:ind w:left="5740"/>
        <w:rPr>
          <w:rFonts w:ascii="Times New Roman" w:eastAsia="Times New Roman" w:hAnsi="Times New Roman"/>
          <w:sz w:val="18"/>
        </w:rPr>
      </w:pPr>
      <w:r>
        <w:rPr>
          <w:rFonts w:ascii="Times New Roman" w:eastAsia="Times New Roman" w:hAnsi="Times New Roman"/>
          <w:sz w:val="18"/>
        </w:rPr>
        <w:t>CFP 12152/2015/27/CA5</w:t>
      </w:r>
    </w:p>
    <w:p w:rsidR="00000000" w:rsidRDefault="008824AB">
      <w:pPr>
        <w:spacing w:line="293" w:lineRule="exact"/>
        <w:rPr>
          <w:rFonts w:ascii="Times New Roman" w:eastAsia="Times New Roman" w:hAnsi="Times New Roman"/>
        </w:rPr>
      </w:pPr>
    </w:p>
    <w:p w:rsidR="00000000" w:rsidRDefault="008824AB">
      <w:pPr>
        <w:spacing w:line="358" w:lineRule="auto"/>
        <w:ind w:right="60"/>
        <w:rPr>
          <w:rFonts w:ascii="Times New Roman" w:eastAsia="Times New Roman" w:hAnsi="Times New Roman"/>
          <w:sz w:val="26"/>
        </w:rPr>
      </w:pPr>
      <w:r>
        <w:rPr>
          <w:rFonts w:ascii="Times New Roman" w:eastAsia="Times New Roman" w:hAnsi="Times New Roman"/>
          <w:sz w:val="26"/>
        </w:rPr>
        <w:t xml:space="preserve">Resolución 128 del 22 de mayo de 2008, resolución 191 del 11 de septiembre de 2008, entre otras- hasta llegar en el año 2011, fecha en la cual el límite llegó a la suma de diez mil millones de dólares en </w:t>
      </w:r>
      <w:r>
        <w:rPr>
          <w:rFonts w:ascii="Times New Roman" w:eastAsia="Times New Roman" w:hAnsi="Times New Roman"/>
          <w:sz w:val="26"/>
        </w:rPr>
        <w:t xml:space="preserve">virtud de que </w:t>
      </w:r>
      <w:r>
        <w:rPr>
          <w:rFonts w:ascii="Times New Roman" w:eastAsia="Times New Roman" w:hAnsi="Times New Roman"/>
          <w:sz w:val="26"/>
        </w:rPr>
        <w:t xml:space="preserve">“ </w:t>
      </w:r>
      <w:r>
        <w:rPr>
          <w:rFonts w:ascii="Times New Roman" w:eastAsia="Times New Roman" w:hAnsi="Times New Roman"/>
          <w:i/>
          <w:sz w:val="26"/>
        </w:rPr>
        <w:t>…para los mercados es de vital importancia la información</w:t>
      </w:r>
      <w:r>
        <w:rPr>
          <w:rFonts w:ascii="Times New Roman" w:eastAsia="Times New Roman" w:hAnsi="Times New Roman"/>
          <w:sz w:val="26"/>
        </w:rPr>
        <w:t xml:space="preserve"> </w:t>
      </w:r>
      <w:r>
        <w:rPr>
          <w:rFonts w:ascii="Times New Roman" w:eastAsia="Times New Roman" w:hAnsi="Times New Roman"/>
          <w:i/>
          <w:sz w:val="26"/>
        </w:rPr>
        <w:t>contenida en las curvas de tasas, ya que permiten anticipar las expectativas de los tipos de cambio. Esta operatoria a su vez, permite darle previsibilidad al tipo de cambio spot y t</w:t>
      </w:r>
      <w:r>
        <w:rPr>
          <w:rFonts w:ascii="Times New Roman" w:eastAsia="Times New Roman" w:hAnsi="Times New Roman"/>
          <w:i/>
          <w:sz w:val="26"/>
        </w:rPr>
        <w:t>iene el beneficio adicional de no producir un efecto negativo en el nivel de reservas internacionales…</w:t>
      </w:r>
      <w:r>
        <w:rPr>
          <w:rFonts w:ascii="Times New Roman" w:eastAsia="Times New Roman" w:hAnsi="Times New Roman"/>
          <w:sz w:val="26"/>
        </w:rPr>
        <w:t xml:space="preserve">” </w:t>
      </w:r>
      <w:r>
        <w:rPr>
          <w:rFonts w:ascii="Times New Roman" w:eastAsia="Times New Roman" w:hAnsi="Times New Roman"/>
          <w:sz w:val="26"/>
        </w:rPr>
        <w:t>–conf. Resolución 176 del 6 de octubre de 2011-.</w:t>
      </w:r>
    </w:p>
    <w:p w:rsidR="00000000" w:rsidRDefault="008824AB">
      <w:pPr>
        <w:spacing w:line="21" w:lineRule="exact"/>
        <w:rPr>
          <w:rFonts w:ascii="Times New Roman" w:eastAsia="Times New Roman" w:hAnsi="Times New Roman"/>
        </w:rPr>
      </w:pPr>
    </w:p>
    <w:p w:rsidR="00000000" w:rsidRDefault="008824AB">
      <w:pPr>
        <w:spacing w:line="363" w:lineRule="auto"/>
        <w:ind w:firstLine="2837"/>
        <w:rPr>
          <w:rFonts w:ascii="Times New Roman" w:eastAsia="Times New Roman" w:hAnsi="Times New Roman"/>
          <w:sz w:val="26"/>
        </w:rPr>
      </w:pPr>
      <w:r>
        <w:rPr>
          <w:rFonts w:ascii="Times New Roman" w:eastAsia="Times New Roman" w:hAnsi="Times New Roman"/>
          <w:sz w:val="26"/>
        </w:rPr>
        <w:t>Es importante aquí destacar que, días después -el 31 de octubre de 2011-, el Ministerio de Economía d</w:t>
      </w:r>
      <w:r>
        <w:rPr>
          <w:rFonts w:ascii="Times New Roman" w:eastAsia="Times New Roman" w:hAnsi="Times New Roman"/>
          <w:sz w:val="26"/>
        </w:rPr>
        <w:t>aba a conocer el comienzo de las restricciones al libre intercambio de divisas, en tanto que el 22 de marzo de 2012 se sancionó la Ley 26.739 que modificó la Carta Orgánica del Banco Central de la República Argentina.</w:t>
      </w:r>
    </w:p>
    <w:p w:rsidR="00000000" w:rsidRDefault="008824AB">
      <w:pPr>
        <w:spacing w:line="200" w:lineRule="exact"/>
        <w:rPr>
          <w:rFonts w:ascii="Times New Roman" w:eastAsia="Times New Roman" w:hAnsi="Times New Roman"/>
        </w:rPr>
      </w:pPr>
    </w:p>
    <w:p w:rsidR="00000000" w:rsidRDefault="008824AB">
      <w:pPr>
        <w:spacing w:line="229" w:lineRule="exact"/>
        <w:rPr>
          <w:rFonts w:ascii="Times New Roman" w:eastAsia="Times New Roman" w:hAnsi="Times New Roman"/>
        </w:rPr>
      </w:pPr>
    </w:p>
    <w:p w:rsidR="00000000" w:rsidRDefault="008824AB">
      <w:pPr>
        <w:spacing w:line="358" w:lineRule="auto"/>
        <w:ind w:firstLine="2837"/>
        <w:rPr>
          <w:rFonts w:ascii="Times New Roman" w:eastAsia="Times New Roman" w:hAnsi="Times New Roman"/>
          <w:sz w:val="26"/>
        </w:rPr>
      </w:pPr>
      <w:r>
        <w:rPr>
          <w:rFonts w:ascii="Times New Roman" w:eastAsia="Times New Roman" w:hAnsi="Times New Roman"/>
          <w:sz w:val="26"/>
        </w:rPr>
        <w:t xml:space="preserve">La situación se mantuvo sin cambios </w:t>
      </w:r>
      <w:r>
        <w:rPr>
          <w:rFonts w:ascii="Times New Roman" w:eastAsia="Times New Roman" w:hAnsi="Times New Roman"/>
          <w:sz w:val="26"/>
        </w:rPr>
        <w:t>hasta el 29 de septiembre de 2015, momento en que el Banco Central de la República Argentina, atendiendo a que las posiciones abiertas de la entidad ascendían a la suma de U$S 8567 millones -correspondiendo U$S 283 millones a los bancos y U$S 8284 millones</w:t>
      </w:r>
      <w:r>
        <w:rPr>
          <w:rFonts w:ascii="Times New Roman" w:eastAsia="Times New Roman" w:hAnsi="Times New Roman"/>
          <w:sz w:val="26"/>
        </w:rPr>
        <w:t xml:space="preserve"> al sector no financiero, registrándose un promedio de venta diario de U$S 200 millones-, dispuso en sesión de directorio 2806 aprobar la Resolución 292 por la que se autorizaba elevar el límite de diez mil millones a quince mil millones de dólares.</w:t>
      </w:r>
    </w:p>
    <w:p w:rsidR="00000000" w:rsidRDefault="008824AB">
      <w:pPr>
        <w:spacing w:line="23" w:lineRule="exact"/>
        <w:rPr>
          <w:rFonts w:ascii="Times New Roman" w:eastAsia="Times New Roman" w:hAnsi="Times New Roman"/>
        </w:rPr>
      </w:pPr>
    </w:p>
    <w:p w:rsidR="00000000" w:rsidRDefault="008824AB">
      <w:pPr>
        <w:spacing w:line="355" w:lineRule="auto"/>
        <w:ind w:right="40" w:firstLine="2837"/>
        <w:jc w:val="both"/>
        <w:rPr>
          <w:rFonts w:ascii="Times New Roman" w:eastAsia="Times New Roman" w:hAnsi="Times New Roman"/>
          <w:sz w:val="26"/>
        </w:rPr>
      </w:pPr>
      <w:r>
        <w:rPr>
          <w:rFonts w:ascii="Times New Roman" w:eastAsia="Times New Roman" w:hAnsi="Times New Roman"/>
          <w:sz w:val="26"/>
        </w:rPr>
        <w:t>Pocos</w:t>
      </w:r>
      <w:r>
        <w:rPr>
          <w:rFonts w:ascii="Times New Roman" w:eastAsia="Times New Roman" w:hAnsi="Times New Roman"/>
          <w:sz w:val="26"/>
        </w:rPr>
        <w:t xml:space="preserve"> días después -el 27 de octubre- las posiciones abiertas de la entidad trepaban a U$S 13.729 millones - correspondiendo U$S 616 millones a los bancos y U$S 13.113 millones</w:t>
      </w:r>
    </w:p>
    <w:p w:rsidR="00000000" w:rsidRDefault="008824AB">
      <w:pPr>
        <w:spacing w:line="355" w:lineRule="auto"/>
        <w:ind w:right="40" w:firstLine="2837"/>
        <w:jc w:val="both"/>
        <w:rPr>
          <w:rFonts w:ascii="Times New Roman" w:eastAsia="Times New Roman" w:hAnsi="Times New Roman"/>
          <w:sz w:val="26"/>
        </w:rPr>
        <w:sectPr w:rsidR="00000000">
          <w:pgSz w:w="11900" w:h="16840"/>
          <w:pgMar w:top="373" w:right="1020" w:bottom="1440" w:left="3200" w:header="0" w:footer="0" w:gutter="0"/>
          <w:cols w:space="0" w:equalWidth="0">
            <w:col w:w="7680"/>
          </w:cols>
          <w:docGrid w:linePitch="360"/>
        </w:sectPr>
      </w:pPr>
    </w:p>
    <w:p w:rsidR="00000000" w:rsidRDefault="008824AB">
      <w:pPr>
        <w:spacing w:line="200" w:lineRule="exact"/>
        <w:rPr>
          <w:rFonts w:ascii="Times New Roman" w:eastAsia="Times New Roman" w:hAnsi="Times New Roman"/>
        </w:rPr>
      </w:pPr>
      <w:bookmarkStart w:id="9" w:name="page10"/>
      <w:bookmarkEnd w:id="9"/>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27" w:lineRule="exact"/>
        <w:rPr>
          <w:rFonts w:ascii="Times New Roman" w:eastAsia="Times New Roman" w:hAnsi="Times New Roman"/>
        </w:rPr>
      </w:pPr>
    </w:p>
    <w:p w:rsidR="00000000" w:rsidRDefault="008824AB">
      <w:pPr>
        <w:spacing w:line="357" w:lineRule="auto"/>
        <w:ind w:right="160"/>
        <w:rPr>
          <w:rFonts w:ascii="Times New Roman" w:eastAsia="Times New Roman" w:hAnsi="Times New Roman"/>
          <w:sz w:val="26"/>
        </w:rPr>
      </w:pPr>
      <w:r>
        <w:rPr>
          <w:rFonts w:ascii="Times New Roman" w:eastAsia="Times New Roman" w:hAnsi="Times New Roman"/>
          <w:sz w:val="26"/>
        </w:rPr>
        <w:t xml:space="preserve">al sector no financiero-, con lo cual el Directorio del Banco Central de la </w:t>
      </w:r>
      <w:r>
        <w:rPr>
          <w:rFonts w:ascii="Times New Roman" w:eastAsia="Times New Roman" w:hAnsi="Times New Roman"/>
          <w:sz w:val="26"/>
        </w:rPr>
        <w:t>República Argentina en sesión 2806 aprobó la Resolución 319 por la que se volvió a aumentar el límite a la suma de veinte mil millones de dólares. Ese mismo día fue sancionada la ley 27.198 que aprobó el presupuesto para el ejercicio 2016 y que contenía la</w:t>
      </w:r>
      <w:r>
        <w:rPr>
          <w:rFonts w:ascii="Times New Roman" w:eastAsia="Times New Roman" w:hAnsi="Times New Roman"/>
          <w:sz w:val="26"/>
        </w:rPr>
        <w:t>s estimaciones del valor de la divisa norteamericana para dicho período.</w:t>
      </w:r>
    </w:p>
    <w:p w:rsidR="00000000" w:rsidRDefault="008824AB">
      <w:pPr>
        <w:spacing w:line="22" w:lineRule="exact"/>
        <w:rPr>
          <w:rFonts w:ascii="Times New Roman" w:eastAsia="Times New Roman" w:hAnsi="Times New Roman"/>
        </w:rPr>
      </w:pPr>
    </w:p>
    <w:p w:rsidR="00000000" w:rsidRDefault="008824AB">
      <w:pPr>
        <w:spacing w:line="358" w:lineRule="auto"/>
        <w:ind w:right="160" w:firstLine="2837"/>
        <w:rPr>
          <w:rFonts w:ascii="Times New Roman" w:eastAsia="Times New Roman" w:hAnsi="Times New Roman"/>
          <w:sz w:val="26"/>
        </w:rPr>
      </w:pPr>
      <w:r>
        <w:rPr>
          <w:rFonts w:ascii="Times New Roman" w:eastAsia="Times New Roman" w:hAnsi="Times New Roman"/>
          <w:sz w:val="26"/>
        </w:rPr>
        <w:t xml:space="preserve">El 30 de octubre, y en vistas del crecimiento de las operaciones en el MAE, el Directorio del BCRA resolvió elevar al 20% las garantías a ser integradas por las entidades a efectos </w:t>
      </w:r>
      <w:r>
        <w:rPr>
          <w:rFonts w:ascii="Times New Roman" w:eastAsia="Times New Roman" w:hAnsi="Times New Roman"/>
          <w:sz w:val="26"/>
        </w:rPr>
        <w:t xml:space="preserve">de </w:t>
      </w:r>
      <w:r>
        <w:rPr>
          <w:rFonts w:ascii="Times New Roman" w:eastAsia="Times New Roman" w:hAnsi="Times New Roman"/>
          <w:sz w:val="26"/>
        </w:rPr>
        <w:t xml:space="preserve">“ </w:t>
      </w:r>
      <w:r>
        <w:rPr>
          <w:rFonts w:ascii="Times New Roman" w:eastAsia="Times New Roman" w:hAnsi="Times New Roman"/>
          <w:i/>
          <w:sz w:val="26"/>
        </w:rPr>
        <w:t>mejorar la posición de respaldo de las nuevas operaciones</w:t>
      </w:r>
      <w:r>
        <w:rPr>
          <w:rFonts w:ascii="Times New Roman" w:eastAsia="Times New Roman" w:hAnsi="Times New Roman"/>
          <w:sz w:val="26"/>
        </w:rPr>
        <w:t>”. Mientras tanto, ese mismo día la Comisión Nacional de Valores inició el expediente n° 3344, y previo dictaminar la Gerencia de Asuntos Jurídicos, la Subgerencia de Asesoramiento Legal y la Ge</w:t>
      </w:r>
      <w:r>
        <w:rPr>
          <w:rFonts w:ascii="Times New Roman" w:eastAsia="Times New Roman" w:hAnsi="Times New Roman"/>
          <w:sz w:val="26"/>
        </w:rPr>
        <w:t>rencia General de Asuntos Jurídicos, el Directorio aprobó el mismo 30 de octubre la Resolución 649 a través de la cual subió el porcentaje de las garantías al 20% para todos los mercados y en pesos.</w:t>
      </w:r>
    </w:p>
    <w:p w:rsidR="00000000" w:rsidRDefault="008824AB">
      <w:pPr>
        <w:spacing w:line="24" w:lineRule="exact"/>
        <w:rPr>
          <w:rFonts w:ascii="Times New Roman" w:eastAsia="Times New Roman" w:hAnsi="Times New Roman"/>
        </w:rPr>
      </w:pPr>
    </w:p>
    <w:p w:rsidR="00000000" w:rsidRDefault="008824AB">
      <w:pPr>
        <w:spacing w:line="350" w:lineRule="auto"/>
        <w:ind w:right="160" w:firstLine="2837"/>
        <w:rPr>
          <w:rFonts w:ascii="Times New Roman" w:eastAsia="Times New Roman" w:hAnsi="Times New Roman"/>
          <w:sz w:val="26"/>
        </w:rPr>
      </w:pPr>
      <w:r>
        <w:rPr>
          <w:rFonts w:ascii="Times New Roman" w:eastAsia="Times New Roman" w:hAnsi="Times New Roman"/>
          <w:sz w:val="26"/>
        </w:rPr>
        <w:t>Pero también, ese mismo día se formuló la denuncia que d</w:t>
      </w:r>
      <w:r>
        <w:rPr>
          <w:rFonts w:ascii="Times New Roman" w:eastAsia="Times New Roman" w:hAnsi="Times New Roman"/>
          <w:sz w:val="26"/>
        </w:rPr>
        <w:t>io inicio a esta investigación.</w:t>
      </w:r>
    </w:p>
    <w:p w:rsidR="00000000" w:rsidRDefault="008824AB">
      <w:pPr>
        <w:spacing w:line="16" w:lineRule="exact"/>
        <w:rPr>
          <w:rFonts w:ascii="Times New Roman" w:eastAsia="Times New Roman" w:hAnsi="Times New Roman"/>
        </w:rPr>
      </w:pPr>
    </w:p>
    <w:p w:rsidR="00000000" w:rsidRDefault="008824AB">
      <w:pPr>
        <w:spacing w:line="367" w:lineRule="auto"/>
        <w:ind w:firstLine="2837"/>
        <w:rPr>
          <w:rFonts w:ascii="Times New Roman" w:eastAsia="Times New Roman" w:hAnsi="Times New Roman"/>
          <w:sz w:val="26"/>
        </w:rPr>
      </w:pPr>
      <w:r>
        <w:rPr>
          <w:rFonts w:ascii="Times New Roman" w:eastAsia="Times New Roman" w:hAnsi="Times New Roman"/>
          <w:b/>
          <w:sz w:val="26"/>
        </w:rPr>
        <w:t xml:space="preserve">IV.c- </w:t>
      </w:r>
      <w:r>
        <w:rPr>
          <w:rFonts w:ascii="Times New Roman" w:eastAsia="Times New Roman" w:hAnsi="Times New Roman"/>
          <w:sz w:val="26"/>
        </w:rPr>
        <w:t>Ahora bien. En este apartado, habrá de</w:t>
      </w:r>
      <w:r>
        <w:rPr>
          <w:rFonts w:ascii="Times New Roman" w:eastAsia="Times New Roman" w:hAnsi="Times New Roman"/>
          <w:b/>
          <w:sz w:val="26"/>
        </w:rPr>
        <w:t xml:space="preserve"> </w:t>
      </w:r>
      <w:r>
        <w:rPr>
          <w:rFonts w:ascii="Times New Roman" w:eastAsia="Times New Roman" w:hAnsi="Times New Roman"/>
          <w:sz w:val="26"/>
        </w:rPr>
        <w:t>examinarse si, como se denunciara, las operaciones celebradas durante el año 2015 fueron efectuadas transgrediendo las disposiciones contenidas en la Carta Orgánica del Banco Cen</w:t>
      </w:r>
      <w:r>
        <w:rPr>
          <w:rFonts w:ascii="Times New Roman" w:eastAsia="Times New Roman" w:hAnsi="Times New Roman"/>
          <w:sz w:val="26"/>
        </w:rPr>
        <w:t>tral de la República Argentina.</w:t>
      </w:r>
    </w:p>
    <w:p w:rsidR="00000000" w:rsidRDefault="008824AB">
      <w:pPr>
        <w:spacing w:line="200" w:lineRule="exact"/>
        <w:rPr>
          <w:rFonts w:ascii="Times New Roman" w:eastAsia="Times New Roman" w:hAnsi="Times New Roman"/>
        </w:rPr>
      </w:pPr>
    </w:p>
    <w:p w:rsidR="00000000" w:rsidRDefault="008824AB">
      <w:pPr>
        <w:spacing w:line="223" w:lineRule="exact"/>
        <w:rPr>
          <w:rFonts w:ascii="Times New Roman" w:eastAsia="Times New Roman" w:hAnsi="Times New Roman"/>
        </w:rPr>
      </w:pPr>
    </w:p>
    <w:p w:rsidR="00000000" w:rsidRDefault="008824AB">
      <w:pPr>
        <w:spacing w:line="357" w:lineRule="auto"/>
        <w:ind w:right="100" w:firstLine="2837"/>
        <w:rPr>
          <w:rFonts w:ascii="Times New Roman" w:eastAsia="Times New Roman" w:hAnsi="Times New Roman"/>
          <w:sz w:val="26"/>
        </w:rPr>
      </w:pPr>
      <w:r>
        <w:rPr>
          <w:rFonts w:ascii="Times New Roman" w:eastAsia="Times New Roman" w:hAnsi="Times New Roman"/>
          <w:sz w:val="26"/>
        </w:rPr>
        <w:t>Sin adentrarnos en el debate técnico conceptual propuesto por las partes sobre la base de definiciones y variables cuya cabal comprensión -consideran- sólo son asequibles para unos pocos, para el Tribunal existen elementos</w:t>
      </w:r>
      <w:r>
        <w:rPr>
          <w:rFonts w:ascii="Times New Roman" w:eastAsia="Times New Roman" w:hAnsi="Times New Roman"/>
          <w:sz w:val="26"/>
        </w:rPr>
        <w:t xml:space="preserve"> que, examinados</w:t>
      </w:r>
    </w:p>
    <w:p w:rsidR="00000000" w:rsidRDefault="008824AB">
      <w:pPr>
        <w:spacing w:line="357" w:lineRule="auto"/>
        <w:ind w:right="100" w:firstLine="2837"/>
        <w:rPr>
          <w:rFonts w:ascii="Times New Roman" w:eastAsia="Times New Roman" w:hAnsi="Times New Roman"/>
          <w:sz w:val="26"/>
        </w:rPr>
        <w:sectPr w:rsidR="00000000">
          <w:pgSz w:w="11900" w:h="16840"/>
          <w:pgMar w:top="1440" w:right="3020" w:bottom="1440" w:left="1140" w:header="0" w:footer="0" w:gutter="0"/>
          <w:cols w:space="0" w:equalWidth="0">
            <w:col w:w="7740"/>
          </w:cols>
          <w:docGrid w:linePitch="360"/>
        </w:sectPr>
      </w:pPr>
    </w:p>
    <w:p w:rsidR="00000000" w:rsidRDefault="008824AB">
      <w:pPr>
        <w:spacing w:line="0" w:lineRule="atLeast"/>
        <w:ind w:left="440"/>
        <w:rPr>
          <w:sz w:val="24"/>
        </w:rPr>
      </w:pPr>
      <w:bookmarkStart w:id="10" w:name="page11"/>
      <w:bookmarkEnd w:id="10"/>
      <w:r>
        <w:rPr>
          <w:sz w:val="24"/>
        </w:rPr>
        <w:lastRenderedPageBreak/>
        <w:t>Año del Bicentenario de la Declaración de la Independencia Nacional</w:t>
      </w:r>
    </w:p>
    <w:p w:rsidR="00000000" w:rsidRDefault="002D0F24">
      <w:pPr>
        <w:spacing w:line="200" w:lineRule="exact"/>
        <w:rPr>
          <w:rFonts w:ascii="Times New Roman" w:eastAsia="Times New Roman" w:hAnsi="Times New Roman"/>
        </w:rPr>
      </w:pPr>
      <w:r>
        <w:rPr>
          <w:noProof/>
          <w:sz w:val="24"/>
        </w:rPr>
        <w:drawing>
          <wp:anchor distT="0" distB="0" distL="114300" distR="114300" simplePos="0" relativeHeight="251642880" behindDoc="1" locked="0" layoutInCell="0" allowOverlap="1">
            <wp:simplePos x="0" y="0"/>
            <wp:positionH relativeFrom="column">
              <wp:posOffset>2213610</wp:posOffset>
            </wp:positionH>
            <wp:positionV relativeFrom="paragraph">
              <wp:posOffset>50800</wp:posOffset>
            </wp:positionV>
            <wp:extent cx="374650" cy="575945"/>
            <wp:effectExtent l="19050" t="0" r="635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srcRect/>
                    <a:stretch>
                      <a:fillRect/>
                    </a:stretch>
                  </pic:blipFill>
                  <pic:spPr bwMode="auto">
                    <a:xfrm>
                      <a:off x="0" y="0"/>
                      <a:ext cx="374650" cy="575945"/>
                    </a:xfrm>
                    <a:prstGeom prst="rect">
                      <a:avLst/>
                    </a:prstGeom>
                    <a:noFill/>
                  </pic:spPr>
                </pic:pic>
              </a:graphicData>
            </a:graphic>
          </wp:anchor>
        </w:drawing>
      </w: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45" w:lineRule="exact"/>
        <w:rPr>
          <w:rFonts w:ascii="Times New Roman" w:eastAsia="Times New Roman" w:hAnsi="Times New Roman"/>
        </w:rPr>
      </w:pPr>
    </w:p>
    <w:p w:rsidR="00000000" w:rsidRDefault="008824AB">
      <w:pPr>
        <w:spacing w:line="0" w:lineRule="atLeast"/>
        <w:ind w:left="2240"/>
        <w:rPr>
          <w:rFonts w:ascii="Times New Roman" w:eastAsia="Times New Roman" w:hAnsi="Times New Roman"/>
          <w:sz w:val="28"/>
        </w:rPr>
      </w:pPr>
      <w:r>
        <w:rPr>
          <w:rFonts w:ascii="Times New Roman" w:eastAsia="Times New Roman" w:hAnsi="Times New Roman"/>
          <w:sz w:val="28"/>
        </w:rPr>
        <w:t>Poder Judicial de la Nación</w:t>
      </w:r>
    </w:p>
    <w:p w:rsidR="00000000" w:rsidRDefault="008824AB">
      <w:pPr>
        <w:spacing w:line="129" w:lineRule="exact"/>
        <w:rPr>
          <w:rFonts w:ascii="Times New Roman" w:eastAsia="Times New Roman" w:hAnsi="Times New Roman"/>
        </w:rPr>
      </w:pPr>
    </w:p>
    <w:p w:rsidR="00000000" w:rsidRDefault="008824AB">
      <w:pPr>
        <w:spacing w:line="239" w:lineRule="auto"/>
        <w:ind w:left="2680"/>
        <w:rPr>
          <w:rFonts w:ascii="Times New Roman" w:eastAsia="Times New Roman" w:hAnsi="Times New Roman"/>
          <w:sz w:val="18"/>
        </w:rPr>
      </w:pPr>
      <w:r>
        <w:rPr>
          <w:rFonts w:ascii="Times New Roman" w:eastAsia="Times New Roman" w:hAnsi="Times New Roman"/>
          <w:sz w:val="18"/>
        </w:rPr>
        <w:t>CAMARA CRIMINAL Y CORRECCIONAL FEDERAL - SALA 2</w:t>
      </w:r>
    </w:p>
    <w:p w:rsidR="00000000" w:rsidRDefault="008824AB">
      <w:pPr>
        <w:spacing w:line="239" w:lineRule="auto"/>
        <w:ind w:left="5740"/>
        <w:rPr>
          <w:rFonts w:ascii="Times New Roman" w:eastAsia="Times New Roman" w:hAnsi="Times New Roman"/>
          <w:sz w:val="18"/>
        </w:rPr>
      </w:pPr>
      <w:r>
        <w:rPr>
          <w:rFonts w:ascii="Times New Roman" w:eastAsia="Times New Roman" w:hAnsi="Times New Roman"/>
          <w:sz w:val="18"/>
        </w:rPr>
        <w:t>CFP 12152/2015/27/CA5</w:t>
      </w:r>
    </w:p>
    <w:p w:rsidR="00000000" w:rsidRDefault="008824AB">
      <w:pPr>
        <w:spacing w:line="293" w:lineRule="exact"/>
        <w:rPr>
          <w:rFonts w:ascii="Times New Roman" w:eastAsia="Times New Roman" w:hAnsi="Times New Roman"/>
        </w:rPr>
      </w:pPr>
    </w:p>
    <w:p w:rsidR="00000000" w:rsidRDefault="008824AB">
      <w:pPr>
        <w:spacing w:line="354" w:lineRule="auto"/>
        <w:rPr>
          <w:rFonts w:ascii="Times New Roman" w:eastAsia="Times New Roman" w:hAnsi="Times New Roman"/>
          <w:sz w:val="26"/>
        </w:rPr>
      </w:pPr>
      <w:r>
        <w:rPr>
          <w:rFonts w:ascii="Times New Roman" w:eastAsia="Times New Roman" w:hAnsi="Times New Roman"/>
          <w:sz w:val="26"/>
        </w:rPr>
        <w:t>con el más básico de los sentidos, permiten afirmar que efectiva</w:t>
      </w:r>
      <w:r>
        <w:rPr>
          <w:rFonts w:ascii="Times New Roman" w:eastAsia="Times New Roman" w:hAnsi="Times New Roman"/>
          <w:sz w:val="26"/>
        </w:rPr>
        <w:t>mente la venta de dólar futuro en el período investigado se hizo en abierta violación a las normas que rigen su actividad.</w:t>
      </w:r>
    </w:p>
    <w:p w:rsidR="00000000" w:rsidRDefault="008824AB">
      <w:pPr>
        <w:spacing w:line="21" w:lineRule="exact"/>
        <w:rPr>
          <w:rFonts w:ascii="Times New Roman" w:eastAsia="Times New Roman" w:hAnsi="Times New Roman"/>
        </w:rPr>
      </w:pPr>
    </w:p>
    <w:p w:rsidR="00000000" w:rsidRDefault="008824AB">
      <w:pPr>
        <w:spacing w:line="362" w:lineRule="auto"/>
        <w:ind w:right="100" w:firstLine="2837"/>
        <w:rPr>
          <w:rFonts w:ascii="Times New Roman" w:eastAsia="Times New Roman" w:hAnsi="Times New Roman"/>
          <w:sz w:val="26"/>
        </w:rPr>
      </w:pPr>
      <w:r>
        <w:rPr>
          <w:rFonts w:ascii="Times New Roman" w:eastAsia="Times New Roman" w:hAnsi="Times New Roman"/>
          <w:sz w:val="26"/>
        </w:rPr>
        <w:t xml:space="preserve">Y en este punto, el artículo 18 inciso </w:t>
      </w:r>
      <w:r>
        <w:rPr>
          <w:rFonts w:ascii="Times New Roman" w:eastAsia="Times New Roman" w:hAnsi="Times New Roman"/>
          <w:sz w:val="26"/>
        </w:rPr>
        <w:t>“a</w:t>
      </w:r>
      <w:r>
        <w:rPr>
          <w:rFonts w:ascii="Times New Roman" w:eastAsia="Times New Roman" w:hAnsi="Times New Roman"/>
          <w:sz w:val="26"/>
        </w:rPr>
        <w:t xml:space="preserve">” de la Carta Orgánica -modificada por ley 26.739- estipula que el BCRA podrá </w:t>
      </w:r>
      <w:r>
        <w:rPr>
          <w:rFonts w:ascii="Times New Roman" w:eastAsia="Times New Roman" w:hAnsi="Times New Roman"/>
          <w:sz w:val="26"/>
        </w:rPr>
        <w:t>“</w:t>
      </w:r>
      <w:r>
        <w:rPr>
          <w:rFonts w:ascii="Times New Roman" w:eastAsia="Times New Roman" w:hAnsi="Times New Roman"/>
          <w:i/>
          <w:sz w:val="26"/>
        </w:rPr>
        <w:t>Comprar y v</w:t>
      </w:r>
      <w:r>
        <w:rPr>
          <w:rFonts w:ascii="Times New Roman" w:eastAsia="Times New Roman" w:hAnsi="Times New Roman"/>
          <w:i/>
          <w:sz w:val="26"/>
        </w:rPr>
        <w:t>ender</w:t>
      </w:r>
      <w:r>
        <w:rPr>
          <w:rFonts w:ascii="Times New Roman" w:eastAsia="Times New Roman" w:hAnsi="Times New Roman"/>
          <w:sz w:val="26"/>
        </w:rPr>
        <w:t xml:space="preserve"> </w:t>
      </w:r>
      <w:r>
        <w:rPr>
          <w:rFonts w:ascii="Times New Roman" w:eastAsia="Times New Roman" w:hAnsi="Times New Roman"/>
          <w:b/>
          <w:i/>
          <w:sz w:val="26"/>
        </w:rPr>
        <w:t>a precios de mercado</w:t>
      </w:r>
      <w:r>
        <w:rPr>
          <w:rFonts w:ascii="Times New Roman" w:eastAsia="Times New Roman" w:hAnsi="Times New Roman"/>
          <w:i/>
          <w:sz w:val="26"/>
        </w:rPr>
        <w:t>, en operaciones de</w:t>
      </w:r>
      <w:r>
        <w:rPr>
          <w:rFonts w:ascii="Times New Roman" w:eastAsia="Times New Roman" w:hAnsi="Times New Roman"/>
          <w:sz w:val="26"/>
        </w:rPr>
        <w:t xml:space="preserve"> </w:t>
      </w:r>
      <w:r>
        <w:rPr>
          <w:rFonts w:ascii="Times New Roman" w:eastAsia="Times New Roman" w:hAnsi="Times New Roman"/>
          <w:i/>
          <w:sz w:val="26"/>
        </w:rPr>
        <w:t>contado y a término, títulos públicos, divisas y otros activos financieros con fines de regulación monetaria, cambiaria financiera y crediticia</w:t>
      </w:r>
      <w:r>
        <w:rPr>
          <w:rFonts w:ascii="Times New Roman" w:eastAsia="Times New Roman" w:hAnsi="Times New Roman"/>
          <w:sz w:val="26"/>
        </w:rPr>
        <w:t>” -</w:t>
      </w:r>
      <w:r>
        <w:rPr>
          <w:rFonts w:ascii="Times New Roman" w:eastAsia="Times New Roman" w:hAnsi="Times New Roman"/>
          <w:i/>
          <w:sz w:val="26"/>
        </w:rPr>
        <w:t xml:space="preserve"> </w:t>
      </w:r>
      <w:r>
        <w:rPr>
          <w:rFonts w:ascii="Times New Roman" w:eastAsia="Times New Roman" w:hAnsi="Times New Roman"/>
          <w:sz w:val="26"/>
        </w:rPr>
        <w:t>inciso a-.</w:t>
      </w:r>
    </w:p>
    <w:p w:rsidR="00000000" w:rsidRDefault="008824AB">
      <w:pPr>
        <w:spacing w:line="200" w:lineRule="exact"/>
        <w:rPr>
          <w:rFonts w:ascii="Times New Roman" w:eastAsia="Times New Roman" w:hAnsi="Times New Roman"/>
        </w:rPr>
      </w:pPr>
    </w:p>
    <w:p w:rsidR="00000000" w:rsidRDefault="008824AB">
      <w:pPr>
        <w:spacing w:line="236" w:lineRule="exact"/>
        <w:rPr>
          <w:rFonts w:ascii="Times New Roman" w:eastAsia="Times New Roman" w:hAnsi="Times New Roman"/>
        </w:rPr>
      </w:pPr>
    </w:p>
    <w:p w:rsidR="00000000" w:rsidRDefault="008824AB">
      <w:pPr>
        <w:spacing w:line="357" w:lineRule="auto"/>
        <w:ind w:right="220" w:firstLine="2837"/>
        <w:jc w:val="both"/>
        <w:rPr>
          <w:rFonts w:ascii="Times New Roman" w:eastAsia="Times New Roman" w:hAnsi="Times New Roman"/>
          <w:sz w:val="26"/>
        </w:rPr>
      </w:pPr>
      <w:r>
        <w:rPr>
          <w:rFonts w:ascii="Times New Roman" w:eastAsia="Times New Roman" w:hAnsi="Times New Roman"/>
          <w:sz w:val="26"/>
        </w:rPr>
        <w:t xml:space="preserve">Tal como se observa, la citada norma faculta a la </w:t>
      </w:r>
      <w:r>
        <w:rPr>
          <w:rFonts w:ascii="Times New Roman" w:eastAsia="Times New Roman" w:hAnsi="Times New Roman"/>
          <w:sz w:val="26"/>
        </w:rPr>
        <w:t>entidad a intervenir en el mercado de futuros con fines de regulación. Sin embargo, la misma ley establece un límite muy preciso: su intervención debe ser a precio de mercado.</w:t>
      </w:r>
    </w:p>
    <w:p w:rsidR="00000000" w:rsidRDefault="008824AB">
      <w:pPr>
        <w:spacing w:line="16" w:lineRule="exact"/>
        <w:rPr>
          <w:rFonts w:ascii="Times New Roman" w:eastAsia="Times New Roman" w:hAnsi="Times New Roman"/>
        </w:rPr>
      </w:pPr>
    </w:p>
    <w:p w:rsidR="00000000" w:rsidRDefault="008824AB">
      <w:pPr>
        <w:spacing w:line="357" w:lineRule="auto"/>
        <w:ind w:right="220" w:firstLine="2837"/>
        <w:jc w:val="both"/>
        <w:rPr>
          <w:rFonts w:ascii="Times New Roman" w:eastAsia="Times New Roman" w:hAnsi="Times New Roman"/>
          <w:sz w:val="26"/>
        </w:rPr>
      </w:pPr>
      <w:r>
        <w:rPr>
          <w:rFonts w:ascii="Times New Roman" w:eastAsia="Times New Roman" w:hAnsi="Times New Roman"/>
          <w:sz w:val="26"/>
        </w:rPr>
        <w:t>En torno a ello, la totalidad de las defensas han argumentado que las operacion</w:t>
      </w:r>
      <w:r>
        <w:rPr>
          <w:rFonts w:ascii="Times New Roman" w:eastAsia="Times New Roman" w:hAnsi="Times New Roman"/>
          <w:sz w:val="26"/>
        </w:rPr>
        <w:t>es se concertaron al precio correspondiente, no siendo acertado considerar el valor que tenía el dólar paralelo, blue, marginal o ilegal, precisamente por fluctuar en base a parámetros ajenos al mercado.</w:t>
      </w:r>
    </w:p>
    <w:p w:rsidR="00000000" w:rsidRDefault="008824AB">
      <w:pPr>
        <w:spacing w:line="18" w:lineRule="exact"/>
        <w:rPr>
          <w:rFonts w:ascii="Times New Roman" w:eastAsia="Times New Roman" w:hAnsi="Times New Roman"/>
        </w:rPr>
      </w:pPr>
    </w:p>
    <w:p w:rsidR="00000000" w:rsidRDefault="008824AB">
      <w:pPr>
        <w:spacing w:line="355" w:lineRule="auto"/>
        <w:ind w:right="220" w:firstLine="2837"/>
        <w:jc w:val="both"/>
        <w:rPr>
          <w:rFonts w:ascii="Times New Roman" w:eastAsia="Times New Roman" w:hAnsi="Times New Roman"/>
          <w:sz w:val="26"/>
        </w:rPr>
      </w:pPr>
      <w:r>
        <w:rPr>
          <w:rFonts w:ascii="Times New Roman" w:eastAsia="Times New Roman" w:hAnsi="Times New Roman"/>
          <w:sz w:val="26"/>
        </w:rPr>
        <w:t>Sin embargo, los elementos recabados en autos dan c</w:t>
      </w:r>
      <w:r>
        <w:rPr>
          <w:rFonts w:ascii="Times New Roman" w:eastAsia="Times New Roman" w:hAnsi="Times New Roman"/>
          <w:sz w:val="26"/>
        </w:rPr>
        <w:t>uenta que los valores que reflejaron las operaciones concertadas por el BCRA no eran aquellos a los que se refería la ley.</w:t>
      </w:r>
    </w:p>
    <w:p w:rsidR="00000000" w:rsidRDefault="008824AB">
      <w:pPr>
        <w:spacing w:line="20" w:lineRule="exact"/>
        <w:rPr>
          <w:rFonts w:ascii="Times New Roman" w:eastAsia="Times New Roman" w:hAnsi="Times New Roman"/>
        </w:rPr>
      </w:pPr>
    </w:p>
    <w:p w:rsidR="00000000" w:rsidRDefault="008824AB">
      <w:pPr>
        <w:spacing w:line="357" w:lineRule="auto"/>
        <w:ind w:right="120" w:firstLine="2837"/>
        <w:rPr>
          <w:rFonts w:ascii="Times New Roman" w:eastAsia="Times New Roman" w:hAnsi="Times New Roman"/>
          <w:b/>
          <w:i/>
          <w:sz w:val="26"/>
        </w:rPr>
      </w:pPr>
      <w:r>
        <w:rPr>
          <w:rFonts w:ascii="Times New Roman" w:eastAsia="Times New Roman" w:hAnsi="Times New Roman"/>
          <w:sz w:val="26"/>
        </w:rPr>
        <w:t>En primer término, por cuanto en las intervenciones de las áreas específicas no se hace referencia a que el precio con el que se ope</w:t>
      </w:r>
      <w:r>
        <w:rPr>
          <w:rFonts w:ascii="Times New Roman" w:eastAsia="Times New Roman" w:hAnsi="Times New Roman"/>
          <w:sz w:val="26"/>
        </w:rPr>
        <w:t xml:space="preserve">raba en los mercados de futuros ROFEX y MAE hubiese sido el de mercado, tal como exige la norma, sino que señalan que </w:t>
      </w:r>
      <w:r>
        <w:rPr>
          <w:rFonts w:ascii="Times New Roman" w:eastAsia="Times New Roman" w:hAnsi="Times New Roman"/>
          <w:sz w:val="26"/>
        </w:rPr>
        <w:t xml:space="preserve">“… </w:t>
      </w:r>
      <w:r>
        <w:rPr>
          <w:rFonts w:ascii="Times New Roman" w:eastAsia="Times New Roman" w:hAnsi="Times New Roman"/>
          <w:i/>
          <w:sz w:val="26"/>
        </w:rPr>
        <w:t>La presidencia determina diariamente en el marco del artículo</w:t>
      </w:r>
      <w:r>
        <w:rPr>
          <w:rFonts w:ascii="Times New Roman" w:eastAsia="Times New Roman" w:hAnsi="Times New Roman"/>
          <w:sz w:val="26"/>
        </w:rPr>
        <w:t xml:space="preserve"> </w:t>
      </w:r>
      <w:r>
        <w:rPr>
          <w:rFonts w:ascii="Times New Roman" w:eastAsia="Times New Roman" w:hAnsi="Times New Roman"/>
          <w:i/>
          <w:sz w:val="26"/>
        </w:rPr>
        <w:t xml:space="preserve">10 inciso j) de la CO, </w:t>
      </w:r>
      <w:r>
        <w:rPr>
          <w:rFonts w:ascii="Times New Roman" w:eastAsia="Times New Roman" w:hAnsi="Times New Roman"/>
          <w:b/>
          <w:i/>
          <w:sz w:val="26"/>
        </w:rPr>
        <w:t>los precios de intervención en los mercados a</w:t>
      </w:r>
    </w:p>
    <w:p w:rsidR="00000000" w:rsidRDefault="008824AB">
      <w:pPr>
        <w:spacing w:line="357" w:lineRule="auto"/>
        <w:ind w:right="120" w:firstLine="2837"/>
        <w:rPr>
          <w:rFonts w:ascii="Times New Roman" w:eastAsia="Times New Roman" w:hAnsi="Times New Roman"/>
          <w:b/>
          <w:i/>
          <w:sz w:val="26"/>
        </w:rPr>
        <w:sectPr w:rsidR="00000000">
          <w:pgSz w:w="11900" w:h="16840"/>
          <w:pgMar w:top="373" w:right="900" w:bottom="1440" w:left="3200" w:header="0" w:footer="0" w:gutter="0"/>
          <w:cols w:space="0" w:equalWidth="0">
            <w:col w:w="7800"/>
          </w:cols>
          <w:docGrid w:linePitch="360"/>
        </w:sectPr>
      </w:pPr>
    </w:p>
    <w:p w:rsidR="00000000" w:rsidRDefault="008824AB">
      <w:pPr>
        <w:spacing w:line="200" w:lineRule="exact"/>
        <w:rPr>
          <w:rFonts w:ascii="Times New Roman" w:eastAsia="Times New Roman" w:hAnsi="Times New Roman"/>
        </w:rPr>
      </w:pPr>
      <w:bookmarkStart w:id="11" w:name="page12"/>
      <w:bookmarkEnd w:id="11"/>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21" w:lineRule="exact"/>
        <w:rPr>
          <w:rFonts w:ascii="Times New Roman" w:eastAsia="Times New Roman" w:hAnsi="Times New Roman"/>
        </w:rPr>
      </w:pPr>
    </w:p>
    <w:p w:rsidR="00000000" w:rsidRDefault="008824AB">
      <w:pPr>
        <w:spacing w:line="358" w:lineRule="auto"/>
        <w:ind w:right="120"/>
        <w:rPr>
          <w:rFonts w:ascii="Times New Roman" w:eastAsia="Times New Roman" w:hAnsi="Times New Roman"/>
          <w:sz w:val="26"/>
        </w:rPr>
      </w:pPr>
      <w:r>
        <w:rPr>
          <w:rFonts w:ascii="Times New Roman" w:eastAsia="Times New Roman" w:hAnsi="Times New Roman"/>
          <w:b/>
          <w:i/>
          <w:sz w:val="26"/>
        </w:rPr>
        <w:t xml:space="preserve">término, </w:t>
      </w:r>
      <w:r>
        <w:rPr>
          <w:rFonts w:ascii="Times New Roman" w:eastAsia="Times New Roman" w:hAnsi="Times New Roman"/>
          <w:i/>
          <w:sz w:val="26"/>
        </w:rPr>
        <w:t>comunicándosele durante y al final del día las operaciones</w:t>
      </w:r>
      <w:r>
        <w:rPr>
          <w:rFonts w:ascii="Times New Roman" w:eastAsia="Times New Roman" w:hAnsi="Times New Roman"/>
          <w:b/>
          <w:i/>
          <w:sz w:val="26"/>
        </w:rPr>
        <w:t xml:space="preserve"> </w:t>
      </w:r>
      <w:r>
        <w:rPr>
          <w:rFonts w:ascii="Times New Roman" w:eastAsia="Times New Roman" w:hAnsi="Times New Roman"/>
          <w:i/>
          <w:sz w:val="26"/>
        </w:rPr>
        <w:t>concertadas, los precios operados, las posiciones acumuladas y los cierres de los mercados…</w:t>
      </w:r>
      <w:r>
        <w:rPr>
          <w:rFonts w:ascii="Times New Roman" w:eastAsia="Times New Roman" w:hAnsi="Times New Roman"/>
          <w:sz w:val="26"/>
        </w:rPr>
        <w:t>” -conf. Informe de la Subgerencia General de</w:t>
      </w:r>
      <w:r>
        <w:rPr>
          <w:rFonts w:ascii="Times New Roman" w:eastAsia="Times New Roman" w:hAnsi="Times New Roman"/>
          <w:i/>
          <w:sz w:val="26"/>
        </w:rPr>
        <w:t xml:space="preserve"> </w:t>
      </w:r>
      <w:r>
        <w:rPr>
          <w:rFonts w:ascii="Times New Roman" w:eastAsia="Times New Roman" w:hAnsi="Times New Roman"/>
          <w:sz w:val="26"/>
        </w:rPr>
        <w:t>Operaciones n° 468/182/15, obrante a fs. 55 y s</w:t>
      </w:r>
      <w:r>
        <w:rPr>
          <w:rFonts w:ascii="Times New Roman" w:eastAsia="Times New Roman" w:hAnsi="Times New Roman"/>
          <w:sz w:val="26"/>
        </w:rPr>
        <w:t>iguientes del Separador 1 de la caja azul n° 6-.</w:t>
      </w:r>
    </w:p>
    <w:p w:rsidR="00000000" w:rsidRDefault="008824AB">
      <w:pPr>
        <w:spacing w:line="18" w:lineRule="exact"/>
        <w:rPr>
          <w:rFonts w:ascii="Times New Roman" w:eastAsia="Times New Roman" w:hAnsi="Times New Roman"/>
        </w:rPr>
      </w:pPr>
    </w:p>
    <w:p w:rsidR="00000000" w:rsidRDefault="008824AB">
      <w:pPr>
        <w:spacing w:line="357" w:lineRule="auto"/>
        <w:ind w:right="140" w:firstLine="2837"/>
        <w:rPr>
          <w:rFonts w:ascii="Times New Roman" w:eastAsia="Times New Roman" w:hAnsi="Times New Roman"/>
          <w:sz w:val="26"/>
        </w:rPr>
      </w:pPr>
      <w:r>
        <w:rPr>
          <w:rFonts w:ascii="Times New Roman" w:eastAsia="Times New Roman" w:hAnsi="Times New Roman"/>
          <w:sz w:val="26"/>
        </w:rPr>
        <w:t xml:space="preserve">En este punto, debe decirse que determinar </w:t>
      </w:r>
      <w:r>
        <w:rPr>
          <w:rFonts w:ascii="Times New Roman" w:eastAsia="Times New Roman" w:hAnsi="Times New Roman"/>
          <w:sz w:val="26"/>
        </w:rPr>
        <w:t xml:space="preserve">“ </w:t>
      </w:r>
      <w:r>
        <w:rPr>
          <w:rFonts w:ascii="Times New Roman" w:eastAsia="Times New Roman" w:hAnsi="Times New Roman"/>
          <w:i/>
          <w:sz w:val="26"/>
        </w:rPr>
        <w:t>los precios de intervención en los mercados</w:t>
      </w:r>
      <w:r>
        <w:rPr>
          <w:rFonts w:ascii="Times New Roman" w:eastAsia="Times New Roman" w:hAnsi="Times New Roman"/>
          <w:sz w:val="26"/>
        </w:rPr>
        <w:t xml:space="preserve"> </w:t>
      </w:r>
      <w:r>
        <w:rPr>
          <w:rFonts w:ascii="Times New Roman" w:eastAsia="Times New Roman" w:hAnsi="Times New Roman"/>
          <w:sz w:val="26"/>
        </w:rPr>
        <w:t xml:space="preserve">”, no es </w:t>
      </w:r>
      <w:r>
        <w:rPr>
          <w:rFonts w:ascii="Times New Roman" w:eastAsia="Times New Roman" w:hAnsi="Times New Roman"/>
          <w:sz w:val="26"/>
        </w:rPr>
        <w:t xml:space="preserve">“ </w:t>
      </w:r>
      <w:r>
        <w:rPr>
          <w:rFonts w:ascii="Times New Roman" w:eastAsia="Times New Roman" w:hAnsi="Times New Roman"/>
          <w:i/>
          <w:sz w:val="26"/>
        </w:rPr>
        <w:t>ofertar a precios</w:t>
      </w:r>
      <w:r>
        <w:rPr>
          <w:rFonts w:ascii="Times New Roman" w:eastAsia="Times New Roman" w:hAnsi="Times New Roman"/>
          <w:sz w:val="26"/>
        </w:rPr>
        <w:t xml:space="preserve"> </w:t>
      </w:r>
      <w:r>
        <w:rPr>
          <w:rFonts w:ascii="Times New Roman" w:eastAsia="Times New Roman" w:hAnsi="Times New Roman"/>
          <w:i/>
          <w:sz w:val="26"/>
        </w:rPr>
        <w:t>de mercado</w:t>
      </w:r>
      <w:r>
        <w:rPr>
          <w:rFonts w:ascii="Times New Roman" w:eastAsia="Times New Roman" w:hAnsi="Times New Roman"/>
          <w:sz w:val="26"/>
        </w:rPr>
        <w:t>”, como han intentado sostener. Una vez más, si la voluntad</w:t>
      </w:r>
      <w:r>
        <w:rPr>
          <w:rFonts w:ascii="Times New Roman" w:eastAsia="Times New Roman" w:hAnsi="Times New Roman"/>
          <w:i/>
          <w:sz w:val="26"/>
        </w:rPr>
        <w:t xml:space="preserve"> </w:t>
      </w:r>
      <w:r>
        <w:rPr>
          <w:rFonts w:ascii="Times New Roman" w:eastAsia="Times New Roman" w:hAnsi="Times New Roman"/>
          <w:sz w:val="26"/>
        </w:rPr>
        <w:t>del legislador hu</w:t>
      </w:r>
      <w:r>
        <w:rPr>
          <w:rFonts w:ascii="Times New Roman" w:eastAsia="Times New Roman" w:hAnsi="Times New Roman"/>
          <w:sz w:val="26"/>
        </w:rPr>
        <w:t xml:space="preserve">biese sido autorizar al BCRA a vender divisas a la </w:t>
      </w:r>
      <w:r>
        <w:rPr>
          <w:rFonts w:ascii="Times New Roman" w:eastAsia="Times New Roman" w:hAnsi="Times New Roman"/>
          <w:sz w:val="26"/>
        </w:rPr>
        <w:t>“cotización oficial</w:t>
      </w:r>
      <w:r>
        <w:rPr>
          <w:rFonts w:ascii="Times New Roman" w:eastAsia="Times New Roman" w:hAnsi="Times New Roman"/>
          <w:sz w:val="26"/>
        </w:rPr>
        <w:t>” -que es aquella que fija el propio ente- o al precio estimado en una ley de presupuesto, así lo hubiese establecido</w:t>
      </w:r>
    </w:p>
    <w:p w:rsidR="00000000" w:rsidRDefault="008824AB">
      <w:pPr>
        <w:spacing w:line="22" w:lineRule="exact"/>
        <w:rPr>
          <w:rFonts w:ascii="Times New Roman" w:eastAsia="Times New Roman" w:hAnsi="Times New Roman"/>
        </w:rPr>
      </w:pPr>
    </w:p>
    <w:p w:rsidR="00000000" w:rsidRDefault="008824AB">
      <w:pPr>
        <w:spacing w:line="357" w:lineRule="auto"/>
        <w:ind w:right="20" w:firstLine="2837"/>
        <w:rPr>
          <w:rFonts w:ascii="Times New Roman" w:eastAsia="Times New Roman" w:hAnsi="Times New Roman"/>
          <w:sz w:val="26"/>
        </w:rPr>
      </w:pPr>
      <w:r>
        <w:rPr>
          <w:rFonts w:ascii="Times New Roman" w:eastAsia="Times New Roman" w:hAnsi="Times New Roman"/>
          <w:sz w:val="26"/>
        </w:rPr>
        <w:t>Tampoco es el precio de mercado aquél que refleja la Comunicación A</w:t>
      </w:r>
      <w:r>
        <w:rPr>
          <w:rFonts w:ascii="Times New Roman" w:eastAsia="Times New Roman" w:hAnsi="Times New Roman"/>
          <w:sz w:val="26"/>
        </w:rPr>
        <w:t xml:space="preserve">-3500 del 1 de marzo de 2002 -base del cálculo del valor de venta-, por cuanto ésta lo que fija son </w:t>
      </w:r>
      <w:r>
        <w:rPr>
          <w:rFonts w:ascii="Times New Roman" w:eastAsia="Times New Roman" w:hAnsi="Times New Roman"/>
          <w:sz w:val="26"/>
        </w:rPr>
        <w:t xml:space="preserve">“ </w:t>
      </w:r>
      <w:r>
        <w:rPr>
          <w:rFonts w:ascii="Times New Roman" w:eastAsia="Times New Roman" w:hAnsi="Times New Roman"/>
          <w:i/>
          <w:sz w:val="26"/>
        </w:rPr>
        <w:t>disposiciones para la determinación del tipo de cambio de referencia</w:t>
      </w:r>
      <w:r>
        <w:rPr>
          <w:rFonts w:ascii="Times New Roman" w:eastAsia="Times New Roman" w:hAnsi="Times New Roman"/>
          <w:sz w:val="26"/>
        </w:rPr>
        <w:t>”.</w:t>
      </w:r>
    </w:p>
    <w:p w:rsidR="00000000" w:rsidRDefault="008824AB">
      <w:pPr>
        <w:spacing w:line="14" w:lineRule="exact"/>
        <w:rPr>
          <w:rFonts w:ascii="Times New Roman" w:eastAsia="Times New Roman" w:hAnsi="Times New Roman"/>
        </w:rPr>
      </w:pPr>
    </w:p>
    <w:p w:rsidR="00000000" w:rsidRDefault="008824AB">
      <w:pPr>
        <w:spacing w:line="358" w:lineRule="auto"/>
        <w:rPr>
          <w:rFonts w:ascii="Times New Roman" w:eastAsia="Times New Roman" w:hAnsi="Times New Roman"/>
          <w:sz w:val="26"/>
        </w:rPr>
      </w:pPr>
      <w:r>
        <w:rPr>
          <w:rFonts w:ascii="Times New Roman" w:eastAsia="Times New Roman" w:hAnsi="Times New Roman"/>
          <w:sz w:val="26"/>
        </w:rPr>
        <w:t xml:space="preserve">A tono con ello, la Gerencia Principal de Operaciones de Mercado indicó que </w:t>
      </w:r>
      <w:r>
        <w:rPr>
          <w:rFonts w:ascii="Times New Roman" w:eastAsia="Times New Roman" w:hAnsi="Times New Roman"/>
          <w:sz w:val="26"/>
        </w:rPr>
        <w:t xml:space="preserve">“ </w:t>
      </w:r>
      <w:r>
        <w:rPr>
          <w:rFonts w:ascii="Times New Roman" w:eastAsia="Times New Roman" w:hAnsi="Times New Roman"/>
          <w:i/>
          <w:sz w:val="26"/>
        </w:rPr>
        <w:t xml:space="preserve">…el </w:t>
      </w:r>
      <w:r>
        <w:rPr>
          <w:rFonts w:ascii="Times New Roman" w:eastAsia="Times New Roman" w:hAnsi="Times New Roman"/>
          <w:i/>
          <w:sz w:val="26"/>
        </w:rPr>
        <w:t>tipo de cambio aplicado para las actualizaciones</w:t>
      </w:r>
      <w:r>
        <w:rPr>
          <w:rFonts w:ascii="Times New Roman" w:eastAsia="Times New Roman" w:hAnsi="Times New Roman"/>
          <w:sz w:val="26"/>
        </w:rPr>
        <w:t xml:space="preserve"> </w:t>
      </w:r>
      <w:r>
        <w:rPr>
          <w:rFonts w:ascii="Times New Roman" w:eastAsia="Times New Roman" w:hAnsi="Times New Roman"/>
          <w:i/>
          <w:sz w:val="26"/>
        </w:rPr>
        <w:t xml:space="preserve">diarias las define cada mercado según sus métodos de cálculo, mientras que para el cierre de la compensación final se utiliza el Tipo de Cambio de Referencia calculado por este Banco Central (Comunicación A </w:t>
      </w:r>
      <w:r>
        <w:rPr>
          <w:rFonts w:ascii="Times New Roman" w:eastAsia="Times New Roman" w:hAnsi="Times New Roman"/>
          <w:i/>
          <w:sz w:val="26"/>
        </w:rPr>
        <w:t>3500)</w:t>
      </w:r>
      <w:r>
        <w:rPr>
          <w:rFonts w:ascii="Times New Roman" w:eastAsia="Times New Roman" w:hAnsi="Times New Roman"/>
          <w:sz w:val="26"/>
        </w:rPr>
        <w:t>…</w:t>
      </w:r>
      <w:r>
        <w:rPr>
          <w:rFonts w:ascii="Times New Roman" w:eastAsia="Times New Roman" w:hAnsi="Times New Roman"/>
          <w:sz w:val="26"/>
        </w:rPr>
        <w:t>” -conf. Informe 465/017-15, glosado a fs. 19 y siguientes del</w:t>
      </w:r>
      <w:r>
        <w:rPr>
          <w:rFonts w:ascii="Times New Roman" w:eastAsia="Times New Roman" w:hAnsi="Times New Roman"/>
          <w:i/>
          <w:sz w:val="26"/>
        </w:rPr>
        <w:t xml:space="preserve"> </w:t>
      </w:r>
      <w:r>
        <w:rPr>
          <w:rFonts w:ascii="Times New Roman" w:eastAsia="Times New Roman" w:hAnsi="Times New Roman"/>
          <w:sz w:val="26"/>
        </w:rPr>
        <w:t>Separador 1 obrante en la caja azul n° 6-.</w:t>
      </w:r>
    </w:p>
    <w:p w:rsidR="00000000" w:rsidRDefault="008824AB">
      <w:pPr>
        <w:spacing w:line="17" w:lineRule="exact"/>
        <w:rPr>
          <w:rFonts w:ascii="Times New Roman" w:eastAsia="Times New Roman" w:hAnsi="Times New Roman"/>
        </w:rPr>
      </w:pPr>
    </w:p>
    <w:p w:rsidR="00000000" w:rsidRDefault="008824AB">
      <w:pPr>
        <w:spacing w:line="357" w:lineRule="auto"/>
        <w:ind w:right="100" w:firstLine="2837"/>
        <w:jc w:val="both"/>
        <w:rPr>
          <w:rFonts w:ascii="Times New Roman" w:eastAsia="Times New Roman" w:hAnsi="Times New Roman"/>
          <w:sz w:val="26"/>
        </w:rPr>
      </w:pPr>
      <w:r>
        <w:rPr>
          <w:rFonts w:ascii="Times New Roman" w:eastAsia="Times New Roman" w:hAnsi="Times New Roman"/>
          <w:sz w:val="26"/>
        </w:rPr>
        <w:t xml:space="preserve">En este punto, han sostenido las defensas que la citada base de cálculo -la Comunicación A 3500- es la misma que se viene aplicando hace años, </w:t>
      </w:r>
      <w:r>
        <w:rPr>
          <w:rFonts w:ascii="Times New Roman" w:eastAsia="Times New Roman" w:hAnsi="Times New Roman"/>
          <w:sz w:val="26"/>
        </w:rPr>
        <w:t>pero omiten mencionar que, a la época de su dictado, no existían las restricciones a la libre comercialización de las</w:t>
      </w:r>
    </w:p>
    <w:p w:rsidR="00000000" w:rsidRDefault="008824AB">
      <w:pPr>
        <w:spacing w:line="357" w:lineRule="auto"/>
        <w:ind w:right="100" w:firstLine="2837"/>
        <w:jc w:val="both"/>
        <w:rPr>
          <w:rFonts w:ascii="Times New Roman" w:eastAsia="Times New Roman" w:hAnsi="Times New Roman"/>
          <w:sz w:val="26"/>
        </w:rPr>
        <w:sectPr w:rsidR="00000000">
          <w:pgSz w:w="11900" w:h="16840"/>
          <w:pgMar w:top="1440" w:right="2980" w:bottom="1440" w:left="1140" w:header="0" w:footer="0" w:gutter="0"/>
          <w:cols w:space="0" w:equalWidth="0">
            <w:col w:w="7780"/>
          </w:cols>
          <w:docGrid w:linePitch="360"/>
        </w:sectPr>
      </w:pPr>
    </w:p>
    <w:p w:rsidR="00000000" w:rsidRDefault="008824AB">
      <w:pPr>
        <w:spacing w:line="0" w:lineRule="atLeast"/>
        <w:ind w:left="440"/>
        <w:rPr>
          <w:sz w:val="24"/>
        </w:rPr>
      </w:pPr>
      <w:bookmarkStart w:id="12" w:name="page13"/>
      <w:bookmarkEnd w:id="12"/>
      <w:r>
        <w:rPr>
          <w:sz w:val="24"/>
        </w:rPr>
        <w:lastRenderedPageBreak/>
        <w:t>Año del Bicentenario de la Declaración de la Independencia Nacional</w:t>
      </w:r>
    </w:p>
    <w:p w:rsidR="00000000" w:rsidRDefault="002D0F24">
      <w:pPr>
        <w:spacing w:line="200" w:lineRule="exact"/>
        <w:rPr>
          <w:rFonts w:ascii="Times New Roman" w:eastAsia="Times New Roman" w:hAnsi="Times New Roman"/>
        </w:rPr>
      </w:pPr>
      <w:r>
        <w:rPr>
          <w:noProof/>
          <w:sz w:val="24"/>
        </w:rPr>
        <w:drawing>
          <wp:anchor distT="0" distB="0" distL="114300" distR="114300" simplePos="0" relativeHeight="251645952" behindDoc="1" locked="0" layoutInCell="0" allowOverlap="1">
            <wp:simplePos x="0" y="0"/>
            <wp:positionH relativeFrom="column">
              <wp:posOffset>2213610</wp:posOffset>
            </wp:positionH>
            <wp:positionV relativeFrom="paragraph">
              <wp:posOffset>50800</wp:posOffset>
            </wp:positionV>
            <wp:extent cx="374650" cy="575945"/>
            <wp:effectExtent l="19050" t="0" r="635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cstate="print"/>
                    <a:srcRect/>
                    <a:stretch>
                      <a:fillRect/>
                    </a:stretch>
                  </pic:blipFill>
                  <pic:spPr bwMode="auto">
                    <a:xfrm>
                      <a:off x="0" y="0"/>
                      <a:ext cx="374650" cy="575945"/>
                    </a:xfrm>
                    <a:prstGeom prst="rect">
                      <a:avLst/>
                    </a:prstGeom>
                    <a:noFill/>
                  </pic:spPr>
                </pic:pic>
              </a:graphicData>
            </a:graphic>
          </wp:anchor>
        </w:drawing>
      </w: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45" w:lineRule="exact"/>
        <w:rPr>
          <w:rFonts w:ascii="Times New Roman" w:eastAsia="Times New Roman" w:hAnsi="Times New Roman"/>
        </w:rPr>
      </w:pPr>
    </w:p>
    <w:p w:rsidR="00000000" w:rsidRDefault="008824AB">
      <w:pPr>
        <w:spacing w:line="0" w:lineRule="atLeast"/>
        <w:ind w:left="2240"/>
        <w:rPr>
          <w:rFonts w:ascii="Times New Roman" w:eastAsia="Times New Roman" w:hAnsi="Times New Roman"/>
          <w:sz w:val="28"/>
        </w:rPr>
      </w:pPr>
      <w:r>
        <w:rPr>
          <w:rFonts w:ascii="Times New Roman" w:eastAsia="Times New Roman" w:hAnsi="Times New Roman"/>
          <w:sz w:val="28"/>
        </w:rPr>
        <w:t>Poder Judicial de la Nación</w:t>
      </w:r>
    </w:p>
    <w:p w:rsidR="00000000" w:rsidRDefault="008824AB">
      <w:pPr>
        <w:spacing w:line="129" w:lineRule="exact"/>
        <w:rPr>
          <w:rFonts w:ascii="Times New Roman" w:eastAsia="Times New Roman" w:hAnsi="Times New Roman"/>
        </w:rPr>
      </w:pPr>
    </w:p>
    <w:p w:rsidR="00000000" w:rsidRDefault="008824AB">
      <w:pPr>
        <w:spacing w:line="239" w:lineRule="auto"/>
        <w:ind w:left="2680"/>
        <w:rPr>
          <w:rFonts w:ascii="Times New Roman" w:eastAsia="Times New Roman" w:hAnsi="Times New Roman"/>
          <w:sz w:val="18"/>
        </w:rPr>
      </w:pPr>
      <w:r>
        <w:rPr>
          <w:rFonts w:ascii="Times New Roman" w:eastAsia="Times New Roman" w:hAnsi="Times New Roman"/>
          <w:sz w:val="18"/>
        </w:rPr>
        <w:t>CAMARA CRIMINAL Y CORRECCIONAL FED</w:t>
      </w:r>
      <w:r>
        <w:rPr>
          <w:rFonts w:ascii="Times New Roman" w:eastAsia="Times New Roman" w:hAnsi="Times New Roman"/>
          <w:sz w:val="18"/>
        </w:rPr>
        <w:t>ERAL - SALA 2</w:t>
      </w:r>
    </w:p>
    <w:p w:rsidR="00000000" w:rsidRDefault="008824AB">
      <w:pPr>
        <w:spacing w:line="239" w:lineRule="auto"/>
        <w:ind w:left="5740"/>
        <w:rPr>
          <w:rFonts w:ascii="Times New Roman" w:eastAsia="Times New Roman" w:hAnsi="Times New Roman"/>
          <w:sz w:val="18"/>
        </w:rPr>
      </w:pPr>
      <w:r>
        <w:rPr>
          <w:rFonts w:ascii="Times New Roman" w:eastAsia="Times New Roman" w:hAnsi="Times New Roman"/>
          <w:sz w:val="18"/>
        </w:rPr>
        <w:t>CFP 12152/2015/27/CA5</w:t>
      </w:r>
    </w:p>
    <w:p w:rsidR="00000000" w:rsidRDefault="008824AB">
      <w:pPr>
        <w:spacing w:line="293" w:lineRule="exact"/>
        <w:rPr>
          <w:rFonts w:ascii="Times New Roman" w:eastAsia="Times New Roman" w:hAnsi="Times New Roman"/>
        </w:rPr>
      </w:pPr>
    </w:p>
    <w:p w:rsidR="00000000" w:rsidRDefault="008824AB">
      <w:pPr>
        <w:spacing w:line="348" w:lineRule="auto"/>
        <w:ind w:right="180"/>
        <w:rPr>
          <w:rFonts w:ascii="Times New Roman" w:eastAsia="Times New Roman" w:hAnsi="Times New Roman"/>
          <w:sz w:val="26"/>
        </w:rPr>
      </w:pPr>
      <w:r>
        <w:rPr>
          <w:rFonts w:ascii="Times New Roman" w:eastAsia="Times New Roman" w:hAnsi="Times New Roman"/>
          <w:sz w:val="26"/>
        </w:rPr>
        <w:t xml:space="preserve">divisas que ampliaron considerablemente la brecha cambiaria entre la cotización </w:t>
      </w:r>
      <w:r>
        <w:rPr>
          <w:rFonts w:ascii="Times New Roman" w:eastAsia="Times New Roman" w:hAnsi="Times New Roman"/>
          <w:sz w:val="26"/>
        </w:rPr>
        <w:t>“oficial</w:t>
      </w:r>
      <w:r>
        <w:rPr>
          <w:rFonts w:ascii="Times New Roman" w:eastAsia="Times New Roman" w:hAnsi="Times New Roman"/>
          <w:sz w:val="26"/>
        </w:rPr>
        <w:t xml:space="preserve">” y la </w:t>
      </w:r>
      <w:r>
        <w:rPr>
          <w:rFonts w:ascii="Times New Roman" w:eastAsia="Times New Roman" w:hAnsi="Times New Roman"/>
          <w:sz w:val="26"/>
        </w:rPr>
        <w:t>“paralela</w:t>
      </w:r>
      <w:r>
        <w:rPr>
          <w:rFonts w:ascii="Times New Roman" w:eastAsia="Times New Roman" w:hAnsi="Times New Roman"/>
          <w:sz w:val="26"/>
        </w:rPr>
        <w:t>”.</w:t>
      </w:r>
    </w:p>
    <w:p w:rsidR="00000000" w:rsidRDefault="008824AB">
      <w:pPr>
        <w:spacing w:line="28" w:lineRule="exact"/>
        <w:rPr>
          <w:rFonts w:ascii="Times New Roman" w:eastAsia="Times New Roman" w:hAnsi="Times New Roman"/>
        </w:rPr>
      </w:pPr>
    </w:p>
    <w:p w:rsidR="00000000" w:rsidRDefault="008824AB">
      <w:pPr>
        <w:spacing w:line="358" w:lineRule="auto"/>
        <w:ind w:right="120" w:firstLine="2837"/>
        <w:rPr>
          <w:rFonts w:ascii="Times New Roman" w:eastAsia="Times New Roman" w:hAnsi="Times New Roman"/>
          <w:sz w:val="26"/>
        </w:rPr>
      </w:pPr>
      <w:r>
        <w:rPr>
          <w:rFonts w:ascii="Times New Roman" w:eastAsia="Times New Roman" w:hAnsi="Times New Roman"/>
          <w:sz w:val="26"/>
        </w:rPr>
        <w:t>A todo lo expuesto se suma cuanto surge del informe 465/019/15 del 23 de noviembre de 2015 elaborado por la Ge</w:t>
      </w:r>
      <w:r>
        <w:rPr>
          <w:rFonts w:ascii="Times New Roman" w:eastAsia="Times New Roman" w:hAnsi="Times New Roman"/>
          <w:sz w:val="26"/>
        </w:rPr>
        <w:t xml:space="preserve">rencia principal de operaciones de mercado, en cuanto consigna </w:t>
      </w:r>
      <w:r>
        <w:rPr>
          <w:rFonts w:ascii="Times New Roman" w:eastAsia="Times New Roman" w:hAnsi="Times New Roman"/>
          <w:sz w:val="26"/>
        </w:rPr>
        <w:t xml:space="preserve">“… </w:t>
      </w:r>
      <w:r>
        <w:rPr>
          <w:rFonts w:ascii="Times New Roman" w:eastAsia="Times New Roman" w:hAnsi="Times New Roman"/>
          <w:i/>
          <w:sz w:val="26"/>
        </w:rPr>
        <w:t>Por otro lado, dada la definición electoral, se entiende que el Banco</w:t>
      </w:r>
      <w:r>
        <w:rPr>
          <w:rFonts w:ascii="Times New Roman" w:eastAsia="Times New Roman" w:hAnsi="Times New Roman"/>
          <w:sz w:val="26"/>
        </w:rPr>
        <w:t xml:space="preserve"> </w:t>
      </w:r>
      <w:r>
        <w:rPr>
          <w:rFonts w:ascii="Times New Roman" w:eastAsia="Times New Roman" w:hAnsi="Times New Roman"/>
          <w:i/>
          <w:sz w:val="26"/>
        </w:rPr>
        <w:t>Central de operar en los Mercados a Término lo debería hacer a tasas cercanas a las que resultarían de su no participaci</w:t>
      </w:r>
      <w:r>
        <w:rPr>
          <w:rFonts w:ascii="Times New Roman" w:eastAsia="Times New Roman" w:hAnsi="Times New Roman"/>
          <w:i/>
          <w:sz w:val="26"/>
        </w:rPr>
        <w:t>ón…</w:t>
      </w:r>
      <w:r>
        <w:rPr>
          <w:rFonts w:ascii="Times New Roman" w:eastAsia="Times New Roman" w:hAnsi="Times New Roman"/>
          <w:sz w:val="26"/>
        </w:rPr>
        <w:t>” -conf.</w:t>
      </w:r>
      <w:r>
        <w:rPr>
          <w:rFonts w:ascii="Times New Roman" w:eastAsia="Times New Roman" w:hAnsi="Times New Roman"/>
          <w:i/>
          <w:sz w:val="26"/>
        </w:rPr>
        <w:t xml:space="preserve"> </w:t>
      </w:r>
      <w:r>
        <w:rPr>
          <w:rFonts w:ascii="Times New Roman" w:eastAsia="Times New Roman" w:hAnsi="Times New Roman"/>
          <w:sz w:val="26"/>
        </w:rPr>
        <w:t>Separador n° 5 de la Caja azul n° 6-.</w:t>
      </w:r>
    </w:p>
    <w:p w:rsidR="00000000" w:rsidRDefault="008824AB">
      <w:pPr>
        <w:spacing w:line="17" w:lineRule="exact"/>
        <w:rPr>
          <w:rFonts w:ascii="Times New Roman" w:eastAsia="Times New Roman" w:hAnsi="Times New Roman"/>
        </w:rPr>
      </w:pPr>
    </w:p>
    <w:p w:rsidR="00000000" w:rsidRDefault="008824AB">
      <w:pPr>
        <w:spacing w:line="359" w:lineRule="auto"/>
        <w:ind w:right="60" w:firstLine="2837"/>
        <w:rPr>
          <w:rFonts w:ascii="Times New Roman" w:eastAsia="Times New Roman" w:hAnsi="Times New Roman"/>
          <w:sz w:val="26"/>
        </w:rPr>
      </w:pPr>
      <w:r>
        <w:rPr>
          <w:rFonts w:ascii="Times New Roman" w:eastAsia="Times New Roman" w:hAnsi="Times New Roman"/>
          <w:sz w:val="26"/>
        </w:rPr>
        <w:t xml:space="preserve">Un dato más que demuestra la falacia argumental de las defensas se encuentra en los listados acompañados por el Mercado Abierto Electrónico -obrantes en sobre marrón que reza </w:t>
      </w:r>
      <w:r>
        <w:rPr>
          <w:rFonts w:ascii="Times New Roman" w:eastAsia="Times New Roman" w:hAnsi="Times New Roman"/>
          <w:sz w:val="26"/>
        </w:rPr>
        <w:t>“Doc. Aportada por el MAE 23/1</w:t>
      </w:r>
      <w:r>
        <w:rPr>
          <w:rFonts w:ascii="Times New Roman" w:eastAsia="Times New Roman" w:hAnsi="Times New Roman"/>
          <w:sz w:val="26"/>
        </w:rPr>
        <w:t>2/15-. De ellos surge que el mismo día en que el Banco Central de la República Argentina vendía contratos a un determinado precio, los adquirentes colocaban futuros de la misma especie a precios superiores. A modo de ejemplo, el día 23 de octubre de 2015 e</w:t>
      </w:r>
      <w:r>
        <w:rPr>
          <w:rFonts w:ascii="Times New Roman" w:eastAsia="Times New Roman" w:hAnsi="Times New Roman"/>
          <w:sz w:val="26"/>
        </w:rPr>
        <w:t>l BCRA vendió contratos con vencimiento el 29/4/16 a un precio de $10,8165 -operaciones concertadas con el ICBC, números de secuencia 59.517 y 59.678-, y ese mismo día, el ICBC vendió contratos con idénticos vencimientos al precio de $ 12,225 -número de re</w:t>
      </w:r>
      <w:r>
        <w:rPr>
          <w:rFonts w:ascii="Times New Roman" w:eastAsia="Times New Roman" w:hAnsi="Times New Roman"/>
          <w:sz w:val="26"/>
        </w:rPr>
        <w:t>gistro 1191- y a $12,2 -número de registro 1196-.</w:t>
      </w:r>
    </w:p>
    <w:p w:rsidR="00000000" w:rsidRDefault="008824AB">
      <w:pPr>
        <w:spacing w:line="17" w:lineRule="exact"/>
        <w:rPr>
          <w:rFonts w:ascii="Times New Roman" w:eastAsia="Times New Roman" w:hAnsi="Times New Roman"/>
        </w:rPr>
      </w:pPr>
    </w:p>
    <w:p w:rsidR="00000000" w:rsidRDefault="008824AB">
      <w:pPr>
        <w:spacing w:line="357" w:lineRule="auto"/>
        <w:ind w:firstLine="2837"/>
        <w:rPr>
          <w:rFonts w:ascii="Times New Roman" w:eastAsia="Times New Roman" w:hAnsi="Times New Roman"/>
          <w:sz w:val="26"/>
        </w:rPr>
      </w:pPr>
      <w:r>
        <w:rPr>
          <w:rFonts w:ascii="Times New Roman" w:eastAsia="Times New Roman" w:hAnsi="Times New Roman"/>
          <w:sz w:val="26"/>
        </w:rPr>
        <w:t>Para todo ello hay una sola conclusión: el Banco Central de la República Argentina no es el mercado, sino un regulador de aquél, tal como establece su Carta Orgánica. El valor que en esa función quiera dar</w:t>
      </w:r>
      <w:r>
        <w:rPr>
          <w:rFonts w:ascii="Times New Roman" w:eastAsia="Times New Roman" w:hAnsi="Times New Roman"/>
          <w:sz w:val="26"/>
        </w:rPr>
        <w:t>le a un objeto de cambio no necesariamente habrá de coincidir con el valor que dicho objeto tiene para el mercado.</w:t>
      </w:r>
    </w:p>
    <w:p w:rsidR="00000000" w:rsidRDefault="008824AB">
      <w:pPr>
        <w:spacing w:line="357" w:lineRule="auto"/>
        <w:ind w:firstLine="2837"/>
        <w:rPr>
          <w:rFonts w:ascii="Times New Roman" w:eastAsia="Times New Roman" w:hAnsi="Times New Roman"/>
          <w:sz w:val="26"/>
        </w:rPr>
        <w:sectPr w:rsidR="00000000">
          <w:pgSz w:w="11900" w:h="16840"/>
          <w:pgMar w:top="373" w:right="940" w:bottom="1440" w:left="3200" w:header="0" w:footer="0" w:gutter="0"/>
          <w:cols w:space="0" w:equalWidth="0">
            <w:col w:w="7760"/>
          </w:cols>
          <w:docGrid w:linePitch="360"/>
        </w:sectPr>
      </w:pPr>
    </w:p>
    <w:p w:rsidR="00000000" w:rsidRDefault="008824AB">
      <w:pPr>
        <w:spacing w:line="200" w:lineRule="exact"/>
        <w:rPr>
          <w:rFonts w:ascii="Times New Roman" w:eastAsia="Times New Roman" w:hAnsi="Times New Roman"/>
        </w:rPr>
      </w:pPr>
      <w:bookmarkStart w:id="13" w:name="page14"/>
      <w:bookmarkEnd w:id="13"/>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27" w:lineRule="exact"/>
        <w:rPr>
          <w:rFonts w:ascii="Times New Roman" w:eastAsia="Times New Roman" w:hAnsi="Times New Roman"/>
        </w:rPr>
      </w:pPr>
    </w:p>
    <w:p w:rsidR="00000000" w:rsidRDefault="008824AB">
      <w:pPr>
        <w:spacing w:line="372" w:lineRule="auto"/>
        <w:ind w:right="240"/>
        <w:rPr>
          <w:rFonts w:ascii="Times New Roman" w:eastAsia="Times New Roman" w:hAnsi="Times New Roman"/>
          <w:sz w:val="25"/>
        </w:rPr>
      </w:pPr>
      <w:r>
        <w:rPr>
          <w:rFonts w:ascii="Times New Roman" w:eastAsia="Times New Roman" w:hAnsi="Times New Roman"/>
          <w:sz w:val="25"/>
        </w:rPr>
        <w:t xml:space="preserve">Tal es el caso del dólar y la razón del </w:t>
      </w:r>
      <w:r>
        <w:rPr>
          <w:rFonts w:ascii="Times New Roman" w:eastAsia="Times New Roman" w:hAnsi="Times New Roman"/>
          <w:sz w:val="25"/>
        </w:rPr>
        <w:t>“éxito</w:t>
      </w:r>
      <w:r>
        <w:rPr>
          <w:rFonts w:ascii="Times New Roman" w:eastAsia="Times New Roman" w:hAnsi="Times New Roman"/>
          <w:sz w:val="25"/>
        </w:rPr>
        <w:t>” obtenido en el mercado de futuros -casi con exclusividad aprovechado por el sector no</w:t>
      </w:r>
      <w:r>
        <w:rPr>
          <w:rFonts w:ascii="Times New Roman" w:eastAsia="Times New Roman" w:hAnsi="Times New Roman"/>
          <w:sz w:val="25"/>
        </w:rPr>
        <w:t xml:space="preserve"> financiero-.</w:t>
      </w:r>
    </w:p>
    <w:p w:rsidR="00000000" w:rsidRDefault="008824AB">
      <w:pPr>
        <w:spacing w:line="4" w:lineRule="exact"/>
        <w:rPr>
          <w:rFonts w:ascii="Times New Roman" w:eastAsia="Times New Roman" w:hAnsi="Times New Roman"/>
        </w:rPr>
      </w:pPr>
    </w:p>
    <w:p w:rsidR="00000000" w:rsidRDefault="008824AB">
      <w:pPr>
        <w:spacing w:line="357" w:lineRule="auto"/>
        <w:ind w:right="100" w:firstLine="2837"/>
        <w:jc w:val="both"/>
        <w:rPr>
          <w:rFonts w:ascii="Times New Roman" w:eastAsia="Times New Roman" w:hAnsi="Times New Roman"/>
          <w:sz w:val="26"/>
        </w:rPr>
      </w:pPr>
      <w:r>
        <w:rPr>
          <w:rFonts w:ascii="Times New Roman" w:eastAsia="Times New Roman" w:hAnsi="Times New Roman"/>
          <w:sz w:val="26"/>
        </w:rPr>
        <w:t>Dichas circunstancias -y sus consecuencias-eran conocidas por todos los imputados, pese a lo cual -y cada uno desde su lugar- avanzaron hacia el objetivo propuesto por las autoridades del Poder Ejecutivo Nacional a soslayo de la autonomía y</w:t>
      </w:r>
      <w:r>
        <w:rPr>
          <w:rFonts w:ascii="Times New Roman" w:eastAsia="Times New Roman" w:hAnsi="Times New Roman"/>
          <w:sz w:val="26"/>
        </w:rPr>
        <w:t xml:space="preserve"> del abuso que ello implicaba.</w:t>
      </w:r>
    </w:p>
    <w:p w:rsidR="00000000" w:rsidRDefault="008824AB">
      <w:pPr>
        <w:spacing w:line="20" w:lineRule="exact"/>
        <w:rPr>
          <w:rFonts w:ascii="Times New Roman" w:eastAsia="Times New Roman" w:hAnsi="Times New Roman"/>
        </w:rPr>
      </w:pPr>
    </w:p>
    <w:p w:rsidR="00000000" w:rsidRDefault="008824AB">
      <w:pPr>
        <w:spacing w:line="358" w:lineRule="auto"/>
        <w:ind w:right="100" w:firstLine="2837"/>
        <w:rPr>
          <w:rFonts w:ascii="Times New Roman" w:eastAsia="Times New Roman" w:hAnsi="Times New Roman"/>
          <w:sz w:val="26"/>
        </w:rPr>
      </w:pPr>
      <w:r>
        <w:rPr>
          <w:rFonts w:ascii="Times New Roman" w:eastAsia="Times New Roman" w:hAnsi="Times New Roman"/>
          <w:sz w:val="26"/>
        </w:rPr>
        <w:t>En torno a ello, insistentemente se ha señalado que la operatoria no comprometió las reservas internacionales pues las compensaciones al cierre de los contratos se concretaban en moneda nacional. Sin embargo, dicha circunsta</w:t>
      </w:r>
      <w:r>
        <w:rPr>
          <w:rFonts w:ascii="Times New Roman" w:eastAsia="Times New Roman" w:hAnsi="Times New Roman"/>
          <w:sz w:val="26"/>
        </w:rPr>
        <w:t xml:space="preserve">ncia poco aporta a los fines de la presente, no sólo porque recorta a conveniencia la información -omitiendo indicar de dónde se obtenían los fondos para abonar esas </w:t>
      </w:r>
      <w:r>
        <w:rPr>
          <w:rFonts w:ascii="Times New Roman" w:eastAsia="Times New Roman" w:hAnsi="Times New Roman"/>
          <w:sz w:val="26"/>
        </w:rPr>
        <w:t>“compensaciones</w:t>
      </w:r>
      <w:r>
        <w:rPr>
          <w:rFonts w:ascii="Times New Roman" w:eastAsia="Times New Roman" w:hAnsi="Times New Roman"/>
          <w:sz w:val="26"/>
        </w:rPr>
        <w:t>”-, sino porque el núcleo de la discusión radica en el compromiso abusivo g</w:t>
      </w:r>
      <w:r>
        <w:rPr>
          <w:rFonts w:ascii="Times New Roman" w:eastAsia="Times New Roman" w:hAnsi="Times New Roman"/>
          <w:sz w:val="26"/>
        </w:rPr>
        <w:t>enerado.</w:t>
      </w:r>
    </w:p>
    <w:p w:rsidR="00000000" w:rsidRDefault="008824AB">
      <w:pPr>
        <w:spacing w:line="18" w:lineRule="exact"/>
        <w:rPr>
          <w:rFonts w:ascii="Times New Roman" w:eastAsia="Times New Roman" w:hAnsi="Times New Roman"/>
        </w:rPr>
      </w:pPr>
    </w:p>
    <w:p w:rsidR="00000000" w:rsidRDefault="008824AB">
      <w:pPr>
        <w:spacing w:line="358" w:lineRule="auto"/>
        <w:ind w:right="100" w:firstLine="2837"/>
        <w:rPr>
          <w:rFonts w:ascii="Times New Roman" w:eastAsia="Times New Roman" w:hAnsi="Times New Roman"/>
          <w:sz w:val="26"/>
        </w:rPr>
      </w:pPr>
      <w:r>
        <w:rPr>
          <w:rFonts w:ascii="Times New Roman" w:eastAsia="Times New Roman" w:hAnsi="Times New Roman"/>
          <w:sz w:val="26"/>
        </w:rPr>
        <w:t xml:space="preserve">Es así como el proporcionalmente voraz aumento de los límites a las posiciones abiertas -que pasaron de 10.000 millones de dólares a 20.000 millones de dólares en menos de un mes-, y la forma agresiva de intervención de la entidad bancaria en el </w:t>
      </w:r>
      <w:r>
        <w:rPr>
          <w:rFonts w:ascii="Times New Roman" w:eastAsia="Times New Roman" w:hAnsi="Times New Roman"/>
          <w:sz w:val="26"/>
        </w:rPr>
        <w:t>mercado de futuros -exclusivamente a la venta y en su mayoría antes del cierre diario-, es demostrativo que la finalidad no fue regular sino manipular, en contraposición con las diversas mandas normativas -conf. separador n° 6 obrante en caja azul n° 6-.</w:t>
      </w:r>
    </w:p>
    <w:p w:rsidR="00000000" w:rsidRDefault="008824AB">
      <w:pPr>
        <w:spacing w:line="10" w:lineRule="exact"/>
        <w:rPr>
          <w:rFonts w:ascii="Times New Roman" w:eastAsia="Times New Roman" w:hAnsi="Times New Roman"/>
        </w:rPr>
      </w:pPr>
    </w:p>
    <w:p w:rsidR="00000000" w:rsidRDefault="008824AB">
      <w:pPr>
        <w:spacing w:line="359" w:lineRule="auto"/>
        <w:ind w:firstLine="2837"/>
        <w:rPr>
          <w:rFonts w:ascii="Times New Roman" w:eastAsia="Times New Roman" w:hAnsi="Times New Roman"/>
          <w:sz w:val="26"/>
        </w:rPr>
      </w:pPr>
      <w:r>
        <w:rPr>
          <w:rFonts w:ascii="Times New Roman" w:eastAsia="Times New Roman" w:hAnsi="Times New Roman"/>
          <w:b/>
          <w:sz w:val="26"/>
        </w:rPr>
        <w:t xml:space="preserve">IV.d- </w:t>
      </w:r>
      <w:r>
        <w:rPr>
          <w:rFonts w:ascii="Times New Roman" w:eastAsia="Times New Roman" w:hAnsi="Times New Roman"/>
          <w:sz w:val="26"/>
        </w:rPr>
        <w:t>Sobre la base de lo anterior, es fácil</w:t>
      </w:r>
      <w:r>
        <w:rPr>
          <w:rFonts w:ascii="Times New Roman" w:eastAsia="Times New Roman" w:hAnsi="Times New Roman"/>
          <w:b/>
          <w:sz w:val="26"/>
        </w:rPr>
        <w:t xml:space="preserve"> </w:t>
      </w:r>
      <w:r>
        <w:rPr>
          <w:rFonts w:ascii="Times New Roman" w:eastAsia="Times New Roman" w:hAnsi="Times New Roman"/>
          <w:sz w:val="26"/>
        </w:rPr>
        <w:t>colegir -con el grado de certeza exigido a esta altura del proceso- que se encuentra reunido el cuadro probatorio que habilita el sometimiento a proceso de los imputados.</w:t>
      </w:r>
    </w:p>
    <w:p w:rsidR="00000000" w:rsidRDefault="008824AB">
      <w:pPr>
        <w:spacing w:line="359" w:lineRule="auto"/>
        <w:ind w:firstLine="2837"/>
        <w:rPr>
          <w:rFonts w:ascii="Times New Roman" w:eastAsia="Times New Roman" w:hAnsi="Times New Roman"/>
          <w:sz w:val="26"/>
        </w:rPr>
        <w:sectPr w:rsidR="00000000">
          <w:pgSz w:w="11900" w:h="16840"/>
          <w:pgMar w:top="1440" w:right="3080" w:bottom="1440" w:left="1140" w:header="0" w:footer="0" w:gutter="0"/>
          <w:cols w:space="0" w:equalWidth="0">
            <w:col w:w="7680"/>
          </w:cols>
          <w:docGrid w:linePitch="360"/>
        </w:sectPr>
      </w:pPr>
    </w:p>
    <w:p w:rsidR="00000000" w:rsidRDefault="008824AB">
      <w:pPr>
        <w:spacing w:line="0" w:lineRule="atLeast"/>
        <w:ind w:left="440"/>
        <w:rPr>
          <w:sz w:val="24"/>
        </w:rPr>
      </w:pPr>
      <w:bookmarkStart w:id="14" w:name="page15"/>
      <w:bookmarkEnd w:id="14"/>
      <w:r>
        <w:rPr>
          <w:sz w:val="24"/>
        </w:rPr>
        <w:lastRenderedPageBreak/>
        <w:t xml:space="preserve">Año del Bicentenario de la Declaración </w:t>
      </w:r>
      <w:r>
        <w:rPr>
          <w:sz w:val="24"/>
        </w:rPr>
        <w:t>de la Independencia Nacional</w:t>
      </w:r>
    </w:p>
    <w:p w:rsidR="00000000" w:rsidRDefault="002D0F24">
      <w:pPr>
        <w:spacing w:line="200" w:lineRule="exact"/>
        <w:rPr>
          <w:rFonts w:ascii="Times New Roman" w:eastAsia="Times New Roman" w:hAnsi="Times New Roman"/>
        </w:rPr>
      </w:pPr>
      <w:r>
        <w:rPr>
          <w:noProof/>
          <w:sz w:val="24"/>
        </w:rPr>
        <w:drawing>
          <wp:anchor distT="0" distB="0" distL="114300" distR="114300" simplePos="0" relativeHeight="251649024" behindDoc="1" locked="0" layoutInCell="0" allowOverlap="1">
            <wp:simplePos x="0" y="0"/>
            <wp:positionH relativeFrom="column">
              <wp:posOffset>2213610</wp:posOffset>
            </wp:positionH>
            <wp:positionV relativeFrom="paragraph">
              <wp:posOffset>50800</wp:posOffset>
            </wp:positionV>
            <wp:extent cx="374650" cy="575945"/>
            <wp:effectExtent l="19050" t="0" r="635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srcRect/>
                    <a:stretch>
                      <a:fillRect/>
                    </a:stretch>
                  </pic:blipFill>
                  <pic:spPr bwMode="auto">
                    <a:xfrm>
                      <a:off x="0" y="0"/>
                      <a:ext cx="374650" cy="575945"/>
                    </a:xfrm>
                    <a:prstGeom prst="rect">
                      <a:avLst/>
                    </a:prstGeom>
                    <a:noFill/>
                  </pic:spPr>
                </pic:pic>
              </a:graphicData>
            </a:graphic>
          </wp:anchor>
        </w:drawing>
      </w: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45" w:lineRule="exact"/>
        <w:rPr>
          <w:rFonts w:ascii="Times New Roman" w:eastAsia="Times New Roman" w:hAnsi="Times New Roman"/>
        </w:rPr>
      </w:pPr>
    </w:p>
    <w:p w:rsidR="00000000" w:rsidRDefault="008824AB">
      <w:pPr>
        <w:spacing w:line="0" w:lineRule="atLeast"/>
        <w:ind w:left="2240"/>
        <w:rPr>
          <w:rFonts w:ascii="Times New Roman" w:eastAsia="Times New Roman" w:hAnsi="Times New Roman"/>
          <w:sz w:val="28"/>
        </w:rPr>
      </w:pPr>
      <w:r>
        <w:rPr>
          <w:rFonts w:ascii="Times New Roman" w:eastAsia="Times New Roman" w:hAnsi="Times New Roman"/>
          <w:sz w:val="28"/>
        </w:rPr>
        <w:t>Poder Judicial de la Nación</w:t>
      </w:r>
    </w:p>
    <w:p w:rsidR="00000000" w:rsidRDefault="008824AB">
      <w:pPr>
        <w:spacing w:line="129" w:lineRule="exact"/>
        <w:rPr>
          <w:rFonts w:ascii="Times New Roman" w:eastAsia="Times New Roman" w:hAnsi="Times New Roman"/>
        </w:rPr>
      </w:pPr>
    </w:p>
    <w:p w:rsidR="00000000" w:rsidRDefault="008824AB">
      <w:pPr>
        <w:spacing w:line="239" w:lineRule="auto"/>
        <w:ind w:left="2680"/>
        <w:rPr>
          <w:rFonts w:ascii="Times New Roman" w:eastAsia="Times New Roman" w:hAnsi="Times New Roman"/>
          <w:sz w:val="18"/>
        </w:rPr>
      </w:pPr>
      <w:r>
        <w:rPr>
          <w:rFonts w:ascii="Times New Roman" w:eastAsia="Times New Roman" w:hAnsi="Times New Roman"/>
          <w:sz w:val="18"/>
        </w:rPr>
        <w:t>CAMARA CRIMINAL Y CORRECCIONAL FEDERAL - SALA 2</w:t>
      </w:r>
    </w:p>
    <w:p w:rsidR="00000000" w:rsidRDefault="008824AB">
      <w:pPr>
        <w:spacing w:line="239" w:lineRule="auto"/>
        <w:ind w:left="5740"/>
        <w:rPr>
          <w:rFonts w:ascii="Times New Roman" w:eastAsia="Times New Roman" w:hAnsi="Times New Roman"/>
          <w:sz w:val="18"/>
        </w:rPr>
      </w:pPr>
      <w:r>
        <w:rPr>
          <w:rFonts w:ascii="Times New Roman" w:eastAsia="Times New Roman" w:hAnsi="Times New Roman"/>
          <w:sz w:val="18"/>
        </w:rPr>
        <w:t>CFP 12152/2015/27/CA5</w:t>
      </w:r>
    </w:p>
    <w:p w:rsidR="00000000" w:rsidRDefault="008824AB">
      <w:pPr>
        <w:spacing w:line="293" w:lineRule="exact"/>
        <w:rPr>
          <w:rFonts w:ascii="Times New Roman" w:eastAsia="Times New Roman" w:hAnsi="Times New Roman"/>
        </w:rPr>
      </w:pPr>
    </w:p>
    <w:p w:rsidR="00000000" w:rsidRDefault="008824AB">
      <w:pPr>
        <w:spacing w:line="358" w:lineRule="auto"/>
        <w:ind w:firstLine="2837"/>
        <w:rPr>
          <w:rFonts w:ascii="Times New Roman" w:eastAsia="Times New Roman" w:hAnsi="Times New Roman"/>
          <w:sz w:val="26"/>
        </w:rPr>
      </w:pPr>
      <w:r>
        <w:rPr>
          <w:rFonts w:ascii="Times New Roman" w:eastAsia="Times New Roman" w:hAnsi="Times New Roman"/>
          <w:sz w:val="26"/>
        </w:rPr>
        <w:t>En primer término, por cuanto Alejandro Vanoli Long Biocca y Miguel Angel Pesce -en su condición de Presidente y Vicepres</w:t>
      </w:r>
      <w:r>
        <w:rPr>
          <w:rFonts w:ascii="Times New Roman" w:eastAsia="Times New Roman" w:hAnsi="Times New Roman"/>
          <w:sz w:val="26"/>
        </w:rPr>
        <w:t>idente-, Pedro Martín Biscay, Sebastián Andrés Aguilera, , Flavia Matilde Marrodan, Alejandro Formento, German David Feldman, Juan Miguel Cuattromo, Bárbara Emilia Domatto Conti y Mariano Beltrani -en su carácter de Directores-, tomaron decisiones contrari</w:t>
      </w:r>
      <w:r>
        <w:rPr>
          <w:rFonts w:ascii="Times New Roman" w:eastAsia="Times New Roman" w:hAnsi="Times New Roman"/>
          <w:sz w:val="26"/>
        </w:rPr>
        <w:t>as a las exigidas por las normas que regulaban su actuación, tanto en lo que hace al fondo -finalidad regulatoria- como a la forma - precio de mercado-, comprometiendo gravemente el patrimonio del Banco Central de la República Argentina.</w:t>
      </w:r>
    </w:p>
    <w:p w:rsidR="00000000" w:rsidRDefault="008824AB">
      <w:pPr>
        <w:spacing w:line="24" w:lineRule="exact"/>
        <w:rPr>
          <w:rFonts w:ascii="Times New Roman" w:eastAsia="Times New Roman" w:hAnsi="Times New Roman"/>
        </w:rPr>
      </w:pPr>
    </w:p>
    <w:p w:rsidR="00000000" w:rsidRDefault="008824AB">
      <w:pPr>
        <w:spacing w:line="359" w:lineRule="auto"/>
        <w:ind w:right="140" w:firstLine="2837"/>
        <w:rPr>
          <w:rFonts w:ascii="Times New Roman" w:eastAsia="Times New Roman" w:hAnsi="Times New Roman"/>
          <w:sz w:val="26"/>
        </w:rPr>
      </w:pPr>
      <w:r>
        <w:rPr>
          <w:rFonts w:ascii="Times New Roman" w:eastAsia="Times New Roman" w:hAnsi="Times New Roman"/>
          <w:sz w:val="26"/>
        </w:rPr>
        <w:t>Aquí, y a difere</w:t>
      </w:r>
      <w:r>
        <w:rPr>
          <w:rFonts w:ascii="Times New Roman" w:eastAsia="Times New Roman" w:hAnsi="Times New Roman"/>
          <w:sz w:val="26"/>
        </w:rPr>
        <w:t>ncia de lo argumentado, debe decirse que no se trata de asignar una responsabilidad objetiva inadmisible para el derecho penal, sino que cada uno de los Directores responden individualmente por su propia actuación: todos han participado de la reunión de di</w:t>
      </w:r>
      <w:r>
        <w:rPr>
          <w:rFonts w:ascii="Times New Roman" w:eastAsia="Times New Roman" w:hAnsi="Times New Roman"/>
          <w:sz w:val="26"/>
        </w:rPr>
        <w:t>rectorio en la que se aprobó la primera ampliación de los límites -Resolución 292-, y también -a excepción de Feldman, que se encontraba en misión oficial- intervinieron en la segunda ampliación -Resolución 319-, encontrándose todos ellos en conocimiento c</w:t>
      </w:r>
      <w:r>
        <w:rPr>
          <w:rFonts w:ascii="Times New Roman" w:eastAsia="Times New Roman" w:hAnsi="Times New Roman"/>
          <w:sz w:val="26"/>
        </w:rPr>
        <w:t>abal de los volúmenes y precios a los que el Banco Central de la República Argentina operaba en los mercados de futuros. Tal circunstancia torna irrelevante el argumento basado en la oposición a la devaluación que pudieran haber manifestado en diciembre de</w:t>
      </w:r>
      <w:r>
        <w:rPr>
          <w:rFonts w:ascii="Times New Roman" w:eastAsia="Times New Roman" w:hAnsi="Times New Roman"/>
          <w:sz w:val="26"/>
        </w:rPr>
        <w:t xml:space="preserve"> 2015, tal como argumentara en su defensa Cuattromo.</w:t>
      </w:r>
    </w:p>
    <w:p w:rsidR="00000000" w:rsidRDefault="008824AB">
      <w:pPr>
        <w:spacing w:line="16" w:lineRule="exact"/>
        <w:rPr>
          <w:rFonts w:ascii="Times New Roman" w:eastAsia="Times New Roman" w:hAnsi="Times New Roman"/>
        </w:rPr>
      </w:pPr>
    </w:p>
    <w:p w:rsidR="00000000" w:rsidRDefault="008824AB">
      <w:pPr>
        <w:spacing w:line="357" w:lineRule="auto"/>
        <w:ind w:right="120" w:firstLine="2837"/>
        <w:rPr>
          <w:rFonts w:ascii="Times New Roman" w:eastAsia="Times New Roman" w:hAnsi="Times New Roman"/>
          <w:sz w:val="26"/>
        </w:rPr>
      </w:pPr>
      <w:r>
        <w:rPr>
          <w:rFonts w:ascii="Times New Roman" w:eastAsia="Times New Roman" w:hAnsi="Times New Roman"/>
          <w:sz w:val="26"/>
        </w:rPr>
        <w:t>Pero también, todos los elementos colectados dan cuenta que las operaciones concertadas por la entidad fueron consecuencia de la línea de actuación decidida por la titular del Poder Ejecutivo Nacional y</w:t>
      </w:r>
      <w:r>
        <w:rPr>
          <w:rFonts w:ascii="Times New Roman" w:eastAsia="Times New Roman" w:hAnsi="Times New Roman"/>
          <w:sz w:val="26"/>
        </w:rPr>
        <w:t xml:space="preserve"> el Ministro de Economía en colisión con lo</w:t>
      </w:r>
    </w:p>
    <w:p w:rsidR="00000000" w:rsidRDefault="008824AB">
      <w:pPr>
        <w:spacing w:line="357" w:lineRule="auto"/>
        <w:ind w:right="120" w:firstLine="2837"/>
        <w:rPr>
          <w:rFonts w:ascii="Times New Roman" w:eastAsia="Times New Roman" w:hAnsi="Times New Roman"/>
          <w:sz w:val="26"/>
        </w:rPr>
        <w:sectPr w:rsidR="00000000">
          <w:pgSz w:w="11900" w:h="16840"/>
          <w:pgMar w:top="373" w:right="940" w:bottom="1440" w:left="3200" w:header="0" w:footer="0" w:gutter="0"/>
          <w:cols w:space="0" w:equalWidth="0">
            <w:col w:w="7760"/>
          </w:cols>
          <w:docGrid w:linePitch="360"/>
        </w:sectPr>
      </w:pPr>
    </w:p>
    <w:p w:rsidR="00000000" w:rsidRDefault="008824AB">
      <w:pPr>
        <w:spacing w:line="200" w:lineRule="exact"/>
        <w:rPr>
          <w:rFonts w:ascii="Times New Roman" w:eastAsia="Times New Roman" w:hAnsi="Times New Roman"/>
        </w:rPr>
      </w:pPr>
      <w:bookmarkStart w:id="15" w:name="page16"/>
      <w:bookmarkEnd w:id="15"/>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27" w:lineRule="exact"/>
        <w:rPr>
          <w:rFonts w:ascii="Times New Roman" w:eastAsia="Times New Roman" w:hAnsi="Times New Roman"/>
        </w:rPr>
      </w:pPr>
    </w:p>
    <w:p w:rsidR="00000000" w:rsidRDefault="008824AB">
      <w:pPr>
        <w:spacing w:line="357" w:lineRule="auto"/>
        <w:ind w:right="20"/>
        <w:rPr>
          <w:rFonts w:ascii="Times New Roman" w:eastAsia="Times New Roman" w:hAnsi="Times New Roman"/>
          <w:sz w:val="26"/>
        </w:rPr>
      </w:pPr>
      <w:r>
        <w:rPr>
          <w:rFonts w:ascii="Times New Roman" w:eastAsia="Times New Roman" w:hAnsi="Times New Roman"/>
          <w:sz w:val="26"/>
        </w:rPr>
        <w:t xml:space="preserve">dispuesto por el artículo 4° de la Carta Orgánica que específicamente establece que </w:t>
      </w:r>
      <w:r>
        <w:rPr>
          <w:rFonts w:ascii="Times New Roman" w:eastAsia="Times New Roman" w:hAnsi="Times New Roman"/>
          <w:sz w:val="26"/>
        </w:rPr>
        <w:t xml:space="preserve">“ </w:t>
      </w:r>
      <w:r>
        <w:rPr>
          <w:rFonts w:ascii="Times New Roman" w:eastAsia="Times New Roman" w:hAnsi="Times New Roman"/>
          <w:i/>
          <w:sz w:val="26"/>
        </w:rPr>
        <w:t>…En el ejercicio de sus funciones y facultades, el banco</w:t>
      </w:r>
      <w:r>
        <w:rPr>
          <w:rFonts w:ascii="Times New Roman" w:eastAsia="Times New Roman" w:hAnsi="Times New Roman"/>
          <w:sz w:val="26"/>
        </w:rPr>
        <w:t xml:space="preserve"> </w:t>
      </w:r>
      <w:r>
        <w:rPr>
          <w:rFonts w:ascii="Times New Roman" w:eastAsia="Times New Roman" w:hAnsi="Times New Roman"/>
          <w:i/>
          <w:sz w:val="26"/>
        </w:rPr>
        <w:t xml:space="preserve">no estará sujeto a órdenes, indicaciones o instrucciones del </w:t>
      </w:r>
      <w:r>
        <w:rPr>
          <w:rFonts w:ascii="Times New Roman" w:eastAsia="Times New Roman" w:hAnsi="Times New Roman"/>
          <w:i/>
          <w:sz w:val="26"/>
        </w:rPr>
        <w:t>Poder Ejecutivo nacional, ni podrá asumir obligaciones de cualquier naturaleza que impliquen condicionarlas, restringirlas o delegarlas sin autorización expresa del Honorable Congreso de la Nación…</w:t>
      </w:r>
      <w:r>
        <w:rPr>
          <w:rFonts w:ascii="Times New Roman" w:eastAsia="Times New Roman" w:hAnsi="Times New Roman"/>
          <w:sz w:val="26"/>
        </w:rPr>
        <w:t>”.</w:t>
      </w:r>
    </w:p>
    <w:p w:rsidR="00000000" w:rsidRDefault="008824AB">
      <w:pPr>
        <w:spacing w:line="22" w:lineRule="exact"/>
        <w:rPr>
          <w:rFonts w:ascii="Times New Roman" w:eastAsia="Times New Roman" w:hAnsi="Times New Roman"/>
        </w:rPr>
      </w:pPr>
    </w:p>
    <w:p w:rsidR="00000000" w:rsidRDefault="008824AB">
      <w:pPr>
        <w:spacing w:line="358" w:lineRule="auto"/>
        <w:ind w:firstLine="2837"/>
        <w:rPr>
          <w:rFonts w:ascii="Times New Roman" w:eastAsia="Times New Roman" w:hAnsi="Times New Roman"/>
          <w:sz w:val="26"/>
        </w:rPr>
      </w:pPr>
      <w:r>
        <w:rPr>
          <w:rFonts w:ascii="Times New Roman" w:eastAsia="Times New Roman" w:hAnsi="Times New Roman"/>
          <w:sz w:val="26"/>
        </w:rPr>
        <w:t>El inicio de las restricciones cambiarias en octubre d</w:t>
      </w:r>
      <w:r>
        <w:rPr>
          <w:rFonts w:ascii="Times New Roman" w:eastAsia="Times New Roman" w:hAnsi="Times New Roman"/>
          <w:sz w:val="26"/>
        </w:rPr>
        <w:t xml:space="preserve">e 2011, la modificación de la Carta Orgánica a través de la ley 26.739 sancionada el 22 de marzo de 2012, y las designaciones de los directores del Banco Central -todas ocurridas entre fines de 2013 y mediados de 2015- y de la Comisión Nacional de Valores </w:t>
      </w:r>
      <w:r>
        <w:rPr>
          <w:rFonts w:ascii="Times New Roman" w:eastAsia="Times New Roman" w:hAnsi="Times New Roman"/>
          <w:sz w:val="26"/>
        </w:rPr>
        <w:t xml:space="preserve">-años 2014 y 2015-, son indicios suficientes que evidencian que todo cuanto hubieron de realizar los responsables de administrar el Banco Central de la República Argentina fue la materialización de decisiones tomadas por el Poder Ejecutivo Nacional, tanto </w:t>
      </w:r>
      <w:r>
        <w:rPr>
          <w:rFonts w:ascii="Times New Roman" w:eastAsia="Times New Roman" w:hAnsi="Times New Roman"/>
          <w:sz w:val="26"/>
        </w:rPr>
        <w:t>de quien se encontraba a cargo -Cristina Fernandez de Kirchner- como de quien estaba al frente de la cartera de Economía -Axel Kicillof-.</w:t>
      </w:r>
    </w:p>
    <w:p w:rsidR="00000000" w:rsidRDefault="008824AB">
      <w:pPr>
        <w:spacing w:line="26" w:lineRule="exact"/>
        <w:rPr>
          <w:rFonts w:ascii="Times New Roman" w:eastAsia="Times New Roman" w:hAnsi="Times New Roman"/>
        </w:rPr>
      </w:pPr>
    </w:p>
    <w:p w:rsidR="00000000" w:rsidRDefault="008824AB">
      <w:pPr>
        <w:spacing w:line="358" w:lineRule="auto"/>
        <w:ind w:right="20" w:firstLine="2837"/>
        <w:rPr>
          <w:rFonts w:ascii="Times New Roman" w:eastAsia="Times New Roman" w:hAnsi="Times New Roman"/>
          <w:sz w:val="26"/>
        </w:rPr>
      </w:pPr>
      <w:r>
        <w:rPr>
          <w:rFonts w:ascii="Times New Roman" w:eastAsia="Times New Roman" w:hAnsi="Times New Roman"/>
          <w:sz w:val="26"/>
        </w:rPr>
        <w:t>Mas dicha responsabilidad también queda en evidencia a partir de los alcances de la maniobra: los volúmenes negociado</w:t>
      </w:r>
      <w:r>
        <w:rPr>
          <w:rFonts w:ascii="Times New Roman" w:eastAsia="Times New Roman" w:hAnsi="Times New Roman"/>
          <w:sz w:val="26"/>
        </w:rPr>
        <w:t>s a diario entre septiembre y octubre de 2015 y su nivel de agresión en lo que respecta al porcentaje de participación en el mercado de futuros trascendía del ámbito del Banco Central, pues fue necesario que organismos actuantes bajo la órbita del Poder Ej</w:t>
      </w:r>
      <w:r>
        <w:rPr>
          <w:rFonts w:ascii="Times New Roman" w:eastAsia="Times New Roman" w:hAnsi="Times New Roman"/>
          <w:sz w:val="26"/>
        </w:rPr>
        <w:t>ecutivo Nacional - como la Comisión Nacional de Valores, también dependiente del Ministerio de Economía- dictara normas para permitir que las operaciones alcanzaran el objetivo propuesto. Basta repasar la secuencia producida el 30 de octubre entre el Banco</w:t>
      </w:r>
      <w:r>
        <w:rPr>
          <w:rFonts w:ascii="Times New Roman" w:eastAsia="Times New Roman" w:hAnsi="Times New Roman"/>
          <w:sz w:val="26"/>
        </w:rPr>
        <w:t xml:space="preserve"> Central de la</w:t>
      </w:r>
    </w:p>
    <w:p w:rsidR="00000000" w:rsidRDefault="008824AB">
      <w:pPr>
        <w:spacing w:line="358" w:lineRule="auto"/>
        <w:ind w:right="20" w:firstLine="2837"/>
        <w:rPr>
          <w:rFonts w:ascii="Times New Roman" w:eastAsia="Times New Roman" w:hAnsi="Times New Roman"/>
          <w:sz w:val="26"/>
        </w:rPr>
        <w:sectPr w:rsidR="00000000">
          <w:pgSz w:w="11900" w:h="16840"/>
          <w:pgMar w:top="1440" w:right="3060" w:bottom="1440" w:left="1140" w:header="0" w:footer="0" w:gutter="0"/>
          <w:cols w:space="0" w:equalWidth="0">
            <w:col w:w="7700"/>
          </w:cols>
          <w:docGrid w:linePitch="360"/>
        </w:sectPr>
      </w:pPr>
    </w:p>
    <w:p w:rsidR="00000000" w:rsidRDefault="008824AB">
      <w:pPr>
        <w:spacing w:line="0" w:lineRule="atLeast"/>
        <w:ind w:left="440"/>
        <w:rPr>
          <w:sz w:val="24"/>
        </w:rPr>
      </w:pPr>
      <w:bookmarkStart w:id="16" w:name="page17"/>
      <w:bookmarkEnd w:id="16"/>
      <w:r>
        <w:rPr>
          <w:sz w:val="24"/>
        </w:rPr>
        <w:lastRenderedPageBreak/>
        <w:t>Año del Bicentenario de la Declaración de la Independencia Nacional</w:t>
      </w:r>
    </w:p>
    <w:p w:rsidR="00000000" w:rsidRDefault="002D0F24">
      <w:pPr>
        <w:spacing w:line="200" w:lineRule="exact"/>
        <w:rPr>
          <w:rFonts w:ascii="Times New Roman" w:eastAsia="Times New Roman" w:hAnsi="Times New Roman"/>
        </w:rPr>
      </w:pPr>
      <w:r>
        <w:rPr>
          <w:noProof/>
          <w:sz w:val="24"/>
        </w:rPr>
        <w:drawing>
          <wp:anchor distT="0" distB="0" distL="114300" distR="114300" simplePos="0" relativeHeight="251652096" behindDoc="1" locked="0" layoutInCell="0" allowOverlap="1">
            <wp:simplePos x="0" y="0"/>
            <wp:positionH relativeFrom="column">
              <wp:posOffset>2213610</wp:posOffset>
            </wp:positionH>
            <wp:positionV relativeFrom="paragraph">
              <wp:posOffset>50800</wp:posOffset>
            </wp:positionV>
            <wp:extent cx="374650" cy="575945"/>
            <wp:effectExtent l="19050" t="0" r="635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cstate="print"/>
                    <a:srcRect/>
                    <a:stretch>
                      <a:fillRect/>
                    </a:stretch>
                  </pic:blipFill>
                  <pic:spPr bwMode="auto">
                    <a:xfrm>
                      <a:off x="0" y="0"/>
                      <a:ext cx="374650" cy="575945"/>
                    </a:xfrm>
                    <a:prstGeom prst="rect">
                      <a:avLst/>
                    </a:prstGeom>
                    <a:noFill/>
                  </pic:spPr>
                </pic:pic>
              </a:graphicData>
            </a:graphic>
          </wp:anchor>
        </w:drawing>
      </w: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45" w:lineRule="exact"/>
        <w:rPr>
          <w:rFonts w:ascii="Times New Roman" w:eastAsia="Times New Roman" w:hAnsi="Times New Roman"/>
        </w:rPr>
      </w:pPr>
    </w:p>
    <w:p w:rsidR="00000000" w:rsidRDefault="008824AB">
      <w:pPr>
        <w:spacing w:line="0" w:lineRule="atLeast"/>
        <w:ind w:left="2240"/>
        <w:rPr>
          <w:rFonts w:ascii="Times New Roman" w:eastAsia="Times New Roman" w:hAnsi="Times New Roman"/>
          <w:sz w:val="28"/>
        </w:rPr>
      </w:pPr>
      <w:r>
        <w:rPr>
          <w:rFonts w:ascii="Times New Roman" w:eastAsia="Times New Roman" w:hAnsi="Times New Roman"/>
          <w:sz w:val="28"/>
        </w:rPr>
        <w:t>Poder Judicial de la Nación</w:t>
      </w:r>
    </w:p>
    <w:p w:rsidR="00000000" w:rsidRDefault="008824AB">
      <w:pPr>
        <w:spacing w:line="129" w:lineRule="exact"/>
        <w:rPr>
          <w:rFonts w:ascii="Times New Roman" w:eastAsia="Times New Roman" w:hAnsi="Times New Roman"/>
        </w:rPr>
      </w:pPr>
    </w:p>
    <w:p w:rsidR="00000000" w:rsidRDefault="008824AB">
      <w:pPr>
        <w:spacing w:line="239" w:lineRule="auto"/>
        <w:ind w:left="2680"/>
        <w:rPr>
          <w:rFonts w:ascii="Times New Roman" w:eastAsia="Times New Roman" w:hAnsi="Times New Roman"/>
          <w:sz w:val="18"/>
        </w:rPr>
      </w:pPr>
      <w:r>
        <w:rPr>
          <w:rFonts w:ascii="Times New Roman" w:eastAsia="Times New Roman" w:hAnsi="Times New Roman"/>
          <w:sz w:val="18"/>
        </w:rPr>
        <w:t>CAMARA CRIMINAL Y CORRECCIONAL FEDERAL - SALA 2</w:t>
      </w:r>
    </w:p>
    <w:p w:rsidR="00000000" w:rsidRDefault="008824AB">
      <w:pPr>
        <w:spacing w:line="239" w:lineRule="auto"/>
        <w:ind w:left="5740"/>
        <w:rPr>
          <w:rFonts w:ascii="Times New Roman" w:eastAsia="Times New Roman" w:hAnsi="Times New Roman"/>
          <w:sz w:val="18"/>
        </w:rPr>
      </w:pPr>
      <w:r>
        <w:rPr>
          <w:rFonts w:ascii="Times New Roman" w:eastAsia="Times New Roman" w:hAnsi="Times New Roman"/>
          <w:sz w:val="18"/>
        </w:rPr>
        <w:t>CFP 12152/2015/27/CA5</w:t>
      </w:r>
    </w:p>
    <w:p w:rsidR="00000000" w:rsidRDefault="008824AB">
      <w:pPr>
        <w:spacing w:line="293" w:lineRule="exact"/>
        <w:rPr>
          <w:rFonts w:ascii="Times New Roman" w:eastAsia="Times New Roman" w:hAnsi="Times New Roman"/>
        </w:rPr>
      </w:pPr>
    </w:p>
    <w:p w:rsidR="00000000" w:rsidRDefault="008824AB">
      <w:pPr>
        <w:spacing w:line="348" w:lineRule="auto"/>
        <w:ind w:right="100"/>
        <w:rPr>
          <w:rFonts w:ascii="Times New Roman" w:eastAsia="Times New Roman" w:hAnsi="Times New Roman"/>
          <w:sz w:val="26"/>
        </w:rPr>
      </w:pPr>
      <w:r>
        <w:rPr>
          <w:rFonts w:ascii="Times New Roman" w:eastAsia="Times New Roman" w:hAnsi="Times New Roman"/>
          <w:sz w:val="26"/>
        </w:rPr>
        <w:t xml:space="preserve">República Argentina y la Comisión Nacional de Valores </w:t>
      </w:r>
      <w:r>
        <w:rPr>
          <w:rFonts w:ascii="Times New Roman" w:eastAsia="Times New Roman" w:hAnsi="Times New Roman"/>
          <w:i/>
          <w:sz w:val="26"/>
        </w:rPr>
        <w:t>ut supra</w:t>
      </w:r>
      <w:r>
        <w:rPr>
          <w:rFonts w:ascii="Times New Roman" w:eastAsia="Times New Roman" w:hAnsi="Times New Roman"/>
          <w:sz w:val="26"/>
        </w:rPr>
        <w:t xml:space="preserve"> eva</w:t>
      </w:r>
      <w:r>
        <w:rPr>
          <w:rFonts w:ascii="Times New Roman" w:eastAsia="Times New Roman" w:hAnsi="Times New Roman"/>
          <w:sz w:val="26"/>
        </w:rPr>
        <w:t>luada.</w:t>
      </w:r>
    </w:p>
    <w:p w:rsidR="00000000" w:rsidRDefault="008824AB">
      <w:pPr>
        <w:spacing w:line="28" w:lineRule="exact"/>
        <w:rPr>
          <w:rFonts w:ascii="Times New Roman" w:eastAsia="Times New Roman" w:hAnsi="Times New Roman"/>
        </w:rPr>
      </w:pPr>
    </w:p>
    <w:p w:rsidR="00000000" w:rsidRDefault="008824AB">
      <w:pPr>
        <w:spacing w:line="359" w:lineRule="auto"/>
        <w:ind w:firstLine="2837"/>
        <w:rPr>
          <w:rFonts w:ascii="Times New Roman" w:eastAsia="Times New Roman" w:hAnsi="Times New Roman"/>
          <w:sz w:val="26"/>
        </w:rPr>
      </w:pPr>
      <w:r>
        <w:rPr>
          <w:rFonts w:ascii="Times New Roman" w:eastAsia="Times New Roman" w:hAnsi="Times New Roman"/>
          <w:sz w:val="26"/>
        </w:rPr>
        <w:t xml:space="preserve">En este punto, la afirmación efectuada por este último en punto a que </w:t>
      </w:r>
      <w:r>
        <w:rPr>
          <w:rFonts w:ascii="Times New Roman" w:eastAsia="Times New Roman" w:hAnsi="Times New Roman"/>
          <w:sz w:val="26"/>
        </w:rPr>
        <w:t>“</w:t>
      </w:r>
      <w:r>
        <w:rPr>
          <w:rFonts w:ascii="Times New Roman" w:eastAsia="Times New Roman" w:hAnsi="Times New Roman"/>
          <w:i/>
          <w:sz w:val="26"/>
        </w:rPr>
        <w:t>…es perfectamente legal que el Banco</w:t>
      </w:r>
      <w:r>
        <w:rPr>
          <w:rFonts w:ascii="Times New Roman" w:eastAsia="Times New Roman" w:hAnsi="Times New Roman"/>
          <w:sz w:val="26"/>
        </w:rPr>
        <w:t xml:space="preserve"> </w:t>
      </w:r>
      <w:r>
        <w:rPr>
          <w:rFonts w:ascii="Times New Roman" w:eastAsia="Times New Roman" w:hAnsi="Times New Roman"/>
          <w:i/>
          <w:sz w:val="26"/>
        </w:rPr>
        <w:t>Central opere en el mercado y que fije el precio que le parezca conveniente</w:t>
      </w:r>
      <w:r>
        <w:rPr>
          <w:rFonts w:ascii="Times New Roman" w:eastAsia="Times New Roman" w:hAnsi="Times New Roman"/>
          <w:sz w:val="26"/>
        </w:rPr>
        <w:t>…</w:t>
      </w:r>
      <w:r>
        <w:rPr>
          <w:rFonts w:ascii="Times New Roman" w:eastAsia="Times New Roman" w:hAnsi="Times New Roman"/>
          <w:sz w:val="26"/>
        </w:rPr>
        <w:t>” es palmariamente contraria a lo dispuesto por la Carta</w:t>
      </w:r>
      <w:r>
        <w:rPr>
          <w:rFonts w:ascii="Times New Roman" w:eastAsia="Times New Roman" w:hAnsi="Times New Roman"/>
          <w:i/>
          <w:sz w:val="26"/>
        </w:rPr>
        <w:t xml:space="preserve"> </w:t>
      </w:r>
      <w:r>
        <w:rPr>
          <w:rFonts w:ascii="Times New Roman" w:eastAsia="Times New Roman" w:hAnsi="Times New Roman"/>
          <w:sz w:val="26"/>
        </w:rPr>
        <w:t>Orgáni</w:t>
      </w:r>
      <w:r>
        <w:rPr>
          <w:rFonts w:ascii="Times New Roman" w:eastAsia="Times New Roman" w:hAnsi="Times New Roman"/>
          <w:sz w:val="26"/>
        </w:rPr>
        <w:t xml:space="preserve">ca, demostrando que, en rigor, la autonomía no era tal, y la finalidad de operar bajo tales parámetros nada tenía que ver con la regulación cambiaria sino que, como más adelante reconoce el nombrado, el objetivo era evitar que </w:t>
      </w:r>
      <w:r>
        <w:rPr>
          <w:rFonts w:ascii="Times New Roman" w:eastAsia="Times New Roman" w:hAnsi="Times New Roman"/>
          <w:sz w:val="26"/>
        </w:rPr>
        <w:t xml:space="preserve">“… </w:t>
      </w:r>
      <w:r>
        <w:rPr>
          <w:rFonts w:ascii="Times New Roman" w:eastAsia="Times New Roman" w:hAnsi="Times New Roman"/>
          <w:i/>
          <w:sz w:val="26"/>
        </w:rPr>
        <w:t>se produjera una mega-</w:t>
      </w:r>
      <w:r>
        <w:rPr>
          <w:rFonts w:ascii="Times New Roman" w:eastAsia="Times New Roman" w:hAnsi="Times New Roman"/>
          <w:i/>
          <w:sz w:val="26"/>
        </w:rPr>
        <w:t>deva</w:t>
      </w:r>
      <w:r>
        <w:rPr>
          <w:rFonts w:ascii="Times New Roman" w:eastAsia="Times New Roman" w:hAnsi="Times New Roman"/>
          <w:i/>
          <w:sz w:val="26"/>
        </w:rPr>
        <w:t xml:space="preserve">luación </w:t>
      </w:r>
      <w:r>
        <w:rPr>
          <w:rFonts w:ascii="Times New Roman" w:eastAsia="Times New Roman" w:hAnsi="Times New Roman"/>
          <w:b/>
          <w:i/>
          <w:sz w:val="26"/>
        </w:rPr>
        <w:t>inmediata</w:t>
      </w:r>
      <w:r>
        <w:rPr>
          <w:rFonts w:ascii="Times New Roman" w:eastAsia="Times New Roman" w:hAnsi="Times New Roman"/>
          <w:i/>
          <w:sz w:val="26"/>
        </w:rPr>
        <w:t xml:space="preserve"> de la moneda por causa de una corrida cambiaria…</w:t>
      </w:r>
      <w:r>
        <w:rPr>
          <w:rFonts w:ascii="Times New Roman" w:eastAsia="Times New Roman" w:hAnsi="Times New Roman"/>
          <w:sz w:val="26"/>
        </w:rPr>
        <w:t>” -conf. descargo de fs. 1145/94-. En similares términos se</w:t>
      </w:r>
      <w:r>
        <w:rPr>
          <w:rFonts w:ascii="Times New Roman" w:eastAsia="Times New Roman" w:hAnsi="Times New Roman"/>
          <w:i/>
          <w:sz w:val="26"/>
        </w:rPr>
        <w:t xml:space="preserve"> </w:t>
      </w:r>
      <w:r>
        <w:rPr>
          <w:rFonts w:ascii="Times New Roman" w:eastAsia="Times New Roman" w:hAnsi="Times New Roman"/>
          <w:sz w:val="26"/>
        </w:rPr>
        <w:t xml:space="preserve">expidió Fernandez de Kirchner al afirmar que lo que se buscó fue proteger el valor de la moneda </w:t>
      </w:r>
      <w:r>
        <w:rPr>
          <w:rFonts w:ascii="Times New Roman" w:eastAsia="Times New Roman" w:hAnsi="Times New Roman"/>
          <w:sz w:val="26"/>
        </w:rPr>
        <w:t xml:space="preserve">“ </w:t>
      </w:r>
      <w:r>
        <w:rPr>
          <w:rFonts w:ascii="Times New Roman" w:eastAsia="Times New Roman" w:hAnsi="Times New Roman"/>
          <w:i/>
          <w:sz w:val="26"/>
        </w:rPr>
        <w:t>ya que su depreciación producirí</w:t>
      </w:r>
      <w:r>
        <w:rPr>
          <w:rFonts w:ascii="Times New Roman" w:eastAsia="Times New Roman" w:hAnsi="Times New Roman"/>
          <w:i/>
          <w:sz w:val="26"/>
        </w:rPr>
        <w:t>a los</w:t>
      </w:r>
      <w:r>
        <w:rPr>
          <w:rFonts w:ascii="Times New Roman" w:eastAsia="Times New Roman" w:hAnsi="Times New Roman"/>
          <w:sz w:val="26"/>
        </w:rPr>
        <w:t xml:space="preserve"> </w:t>
      </w:r>
      <w:r>
        <w:rPr>
          <w:rFonts w:ascii="Times New Roman" w:eastAsia="Times New Roman" w:hAnsi="Times New Roman"/>
          <w:i/>
          <w:sz w:val="26"/>
        </w:rPr>
        <w:t>efectos más desfavorables sobre la actividad económica en general</w:t>
      </w:r>
      <w:r>
        <w:rPr>
          <w:rFonts w:ascii="Times New Roman" w:eastAsia="Times New Roman" w:hAnsi="Times New Roman"/>
          <w:sz w:val="26"/>
        </w:rPr>
        <w:t>” -</w:t>
      </w:r>
      <w:r>
        <w:rPr>
          <w:rFonts w:ascii="Times New Roman" w:eastAsia="Times New Roman" w:hAnsi="Times New Roman"/>
          <w:i/>
          <w:sz w:val="26"/>
        </w:rPr>
        <w:t xml:space="preserve"> </w:t>
      </w:r>
      <w:r>
        <w:rPr>
          <w:rFonts w:ascii="Times New Roman" w:eastAsia="Times New Roman" w:hAnsi="Times New Roman"/>
          <w:sz w:val="26"/>
        </w:rPr>
        <w:t>conf. escrito de fs. 1230/9-.</w:t>
      </w:r>
    </w:p>
    <w:p w:rsidR="00000000" w:rsidRDefault="008824AB">
      <w:pPr>
        <w:spacing w:line="17" w:lineRule="exact"/>
        <w:rPr>
          <w:rFonts w:ascii="Times New Roman" w:eastAsia="Times New Roman" w:hAnsi="Times New Roman"/>
        </w:rPr>
      </w:pPr>
    </w:p>
    <w:p w:rsidR="00000000" w:rsidRDefault="008824AB">
      <w:pPr>
        <w:spacing w:line="358" w:lineRule="auto"/>
        <w:ind w:firstLine="2837"/>
        <w:rPr>
          <w:rFonts w:ascii="Times New Roman" w:eastAsia="Times New Roman" w:hAnsi="Times New Roman"/>
          <w:sz w:val="26"/>
        </w:rPr>
      </w:pPr>
      <w:r>
        <w:rPr>
          <w:rFonts w:ascii="Times New Roman" w:eastAsia="Times New Roman" w:hAnsi="Times New Roman"/>
          <w:sz w:val="26"/>
        </w:rPr>
        <w:t>En estos términos, resulta irrelevante cuanto señalara Marrodan en orden a los datos que figuraban en los balances semanales que presentaba el BCRA du</w:t>
      </w:r>
      <w:r>
        <w:rPr>
          <w:rFonts w:ascii="Times New Roman" w:eastAsia="Times New Roman" w:hAnsi="Times New Roman"/>
          <w:sz w:val="26"/>
        </w:rPr>
        <w:t xml:space="preserve">rante el año 2015. Es que, aún cuando no hubiera certeza sobre el curso de los acontecimientos tras la asunción de nuevas autoridades, para los mercados -e incluso para los funcionarios del propio Banco Central de la República Argentina- la corrección del </w:t>
      </w:r>
      <w:r>
        <w:rPr>
          <w:rFonts w:ascii="Times New Roman" w:eastAsia="Times New Roman" w:hAnsi="Times New Roman"/>
          <w:sz w:val="26"/>
        </w:rPr>
        <w:t>precio era ineludible.</w:t>
      </w:r>
    </w:p>
    <w:p w:rsidR="00000000" w:rsidRDefault="008824AB">
      <w:pPr>
        <w:spacing w:line="17" w:lineRule="exact"/>
        <w:rPr>
          <w:rFonts w:ascii="Times New Roman" w:eastAsia="Times New Roman" w:hAnsi="Times New Roman"/>
        </w:rPr>
      </w:pPr>
    </w:p>
    <w:p w:rsidR="00000000" w:rsidRDefault="008824AB">
      <w:pPr>
        <w:spacing w:line="357" w:lineRule="auto"/>
        <w:ind w:right="40" w:firstLine="2837"/>
        <w:jc w:val="both"/>
        <w:rPr>
          <w:rFonts w:ascii="Times New Roman" w:eastAsia="Times New Roman" w:hAnsi="Times New Roman"/>
          <w:sz w:val="26"/>
        </w:rPr>
      </w:pPr>
      <w:r>
        <w:rPr>
          <w:rFonts w:ascii="Times New Roman" w:eastAsia="Times New Roman" w:hAnsi="Times New Roman"/>
          <w:sz w:val="26"/>
        </w:rPr>
        <w:t>Ello explica la imperiosa necesidad de multiplicar exponencialmente la intervención de la entidad en el mercado de futuros elevando al doble y en menos de un mes -entre el 29 de septiembre y el 27 de octubre- el volumen de fondos pú</w:t>
      </w:r>
      <w:r>
        <w:rPr>
          <w:rFonts w:ascii="Times New Roman" w:eastAsia="Times New Roman" w:hAnsi="Times New Roman"/>
          <w:sz w:val="26"/>
        </w:rPr>
        <w:t>blicos a</w:t>
      </w:r>
    </w:p>
    <w:p w:rsidR="00000000" w:rsidRDefault="008824AB">
      <w:pPr>
        <w:spacing w:line="357" w:lineRule="auto"/>
        <w:ind w:right="40" w:firstLine="2837"/>
        <w:jc w:val="both"/>
        <w:rPr>
          <w:rFonts w:ascii="Times New Roman" w:eastAsia="Times New Roman" w:hAnsi="Times New Roman"/>
          <w:sz w:val="26"/>
        </w:rPr>
        <w:sectPr w:rsidR="00000000">
          <w:pgSz w:w="11900" w:h="16840"/>
          <w:pgMar w:top="373" w:right="1020" w:bottom="1440" w:left="3200" w:header="0" w:footer="0" w:gutter="0"/>
          <w:cols w:space="0" w:equalWidth="0">
            <w:col w:w="7680"/>
          </w:cols>
          <w:docGrid w:linePitch="360"/>
        </w:sectPr>
      </w:pPr>
    </w:p>
    <w:p w:rsidR="00000000" w:rsidRDefault="008824AB">
      <w:pPr>
        <w:spacing w:line="200" w:lineRule="exact"/>
        <w:rPr>
          <w:rFonts w:ascii="Times New Roman" w:eastAsia="Times New Roman" w:hAnsi="Times New Roman"/>
        </w:rPr>
      </w:pPr>
      <w:bookmarkStart w:id="17" w:name="page18"/>
      <w:bookmarkEnd w:id="17"/>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27" w:lineRule="exact"/>
        <w:rPr>
          <w:rFonts w:ascii="Times New Roman" w:eastAsia="Times New Roman" w:hAnsi="Times New Roman"/>
        </w:rPr>
      </w:pPr>
    </w:p>
    <w:p w:rsidR="00000000" w:rsidRDefault="008824AB">
      <w:pPr>
        <w:spacing w:line="348" w:lineRule="auto"/>
        <w:ind w:right="180"/>
        <w:rPr>
          <w:rFonts w:ascii="Times New Roman" w:eastAsia="Times New Roman" w:hAnsi="Times New Roman"/>
          <w:sz w:val="26"/>
        </w:rPr>
      </w:pPr>
      <w:r>
        <w:rPr>
          <w:rFonts w:ascii="Times New Roman" w:eastAsia="Times New Roman" w:hAnsi="Times New Roman"/>
          <w:sz w:val="26"/>
        </w:rPr>
        <w:t>comprometer en el mercado con la sola finalidad de estirar un tiempo más lo inevitable.</w:t>
      </w:r>
    </w:p>
    <w:p w:rsidR="00000000" w:rsidRDefault="008824AB">
      <w:pPr>
        <w:spacing w:line="28" w:lineRule="exact"/>
        <w:rPr>
          <w:rFonts w:ascii="Times New Roman" w:eastAsia="Times New Roman" w:hAnsi="Times New Roman"/>
        </w:rPr>
      </w:pPr>
    </w:p>
    <w:p w:rsidR="00000000" w:rsidRDefault="008824AB">
      <w:pPr>
        <w:spacing w:line="359" w:lineRule="auto"/>
        <w:ind w:right="80" w:firstLine="2837"/>
        <w:rPr>
          <w:rFonts w:ascii="Times New Roman" w:eastAsia="Times New Roman" w:hAnsi="Times New Roman"/>
          <w:sz w:val="26"/>
        </w:rPr>
      </w:pPr>
      <w:r>
        <w:rPr>
          <w:rFonts w:ascii="Times New Roman" w:eastAsia="Times New Roman" w:hAnsi="Times New Roman"/>
          <w:sz w:val="26"/>
        </w:rPr>
        <w:t>Este último aspecto se ve reforzado por los testimonios recabados en autos, los cuales dan cuenta que la política del Banco Central de la República A</w:t>
      </w:r>
      <w:r>
        <w:rPr>
          <w:rFonts w:ascii="Times New Roman" w:eastAsia="Times New Roman" w:hAnsi="Times New Roman"/>
          <w:sz w:val="26"/>
        </w:rPr>
        <w:t xml:space="preserve">rgentina era seguir los designios del Poder Ejecutivo Nacional, afirmándose que lo que debía evitarse era </w:t>
      </w:r>
      <w:r>
        <w:rPr>
          <w:rFonts w:ascii="Times New Roman" w:eastAsia="Times New Roman" w:hAnsi="Times New Roman"/>
          <w:sz w:val="26"/>
        </w:rPr>
        <w:t xml:space="preserve">“ </w:t>
      </w:r>
      <w:r>
        <w:rPr>
          <w:rFonts w:ascii="Times New Roman" w:eastAsia="Times New Roman" w:hAnsi="Times New Roman"/>
          <w:i/>
          <w:sz w:val="26"/>
        </w:rPr>
        <w:t>desviarse del cálculo teórico del precio futuro</w:t>
      </w:r>
      <w:r>
        <w:rPr>
          <w:rFonts w:ascii="Times New Roman" w:eastAsia="Times New Roman" w:hAnsi="Times New Roman"/>
          <w:sz w:val="26"/>
        </w:rPr>
        <w:t xml:space="preserve">” -fs. 1342/4-, como así también que </w:t>
      </w:r>
      <w:r>
        <w:rPr>
          <w:rFonts w:ascii="Times New Roman" w:eastAsia="Times New Roman" w:hAnsi="Times New Roman"/>
          <w:sz w:val="26"/>
        </w:rPr>
        <w:t>“</w:t>
      </w:r>
      <w:r>
        <w:rPr>
          <w:rFonts w:ascii="Times New Roman" w:eastAsia="Times New Roman" w:hAnsi="Times New Roman"/>
          <w:i/>
          <w:sz w:val="26"/>
        </w:rPr>
        <w:t>estuvieran alienados el spot y los futuros</w:t>
      </w:r>
      <w:r>
        <w:rPr>
          <w:rFonts w:ascii="Times New Roman" w:eastAsia="Times New Roman" w:hAnsi="Times New Roman"/>
          <w:sz w:val="26"/>
        </w:rPr>
        <w:t xml:space="preserve">” -fs. 1345/7-. Pero </w:t>
      </w:r>
      <w:r>
        <w:rPr>
          <w:rFonts w:ascii="Times New Roman" w:eastAsia="Times New Roman" w:hAnsi="Times New Roman"/>
          <w:sz w:val="26"/>
        </w:rPr>
        <w:t xml:space="preserve">también, surge de ellos que </w:t>
      </w:r>
      <w:r>
        <w:rPr>
          <w:rFonts w:ascii="Times New Roman" w:eastAsia="Times New Roman" w:hAnsi="Times New Roman"/>
          <w:sz w:val="26"/>
        </w:rPr>
        <w:t>“</w:t>
      </w:r>
      <w:r>
        <w:rPr>
          <w:rFonts w:ascii="Times New Roman" w:eastAsia="Times New Roman" w:hAnsi="Times New Roman"/>
          <w:i/>
          <w:sz w:val="26"/>
        </w:rPr>
        <w:t>…una forma de ver que el spot estaba</w:t>
      </w:r>
      <w:r>
        <w:rPr>
          <w:rFonts w:ascii="Times New Roman" w:eastAsia="Times New Roman" w:hAnsi="Times New Roman"/>
          <w:sz w:val="26"/>
        </w:rPr>
        <w:t xml:space="preserve"> </w:t>
      </w:r>
      <w:r>
        <w:rPr>
          <w:rFonts w:ascii="Times New Roman" w:eastAsia="Times New Roman" w:hAnsi="Times New Roman"/>
          <w:i/>
          <w:sz w:val="26"/>
        </w:rPr>
        <w:t>atrasado es que había controles para la compra del mismo porque a ese precio la demanda hubiera sido mayor…</w:t>
      </w:r>
      <w:r>
        <w:rPr>
          <w:rFonts w:ascii="Times New Roman" w:eastAsia="Times New Roman" w:hAnsi="Times New Roman"/>
          <w:sz w:val="26"/>
        </w:rPr>
        <w:t xml:space="preserve">” -fs. 1345/7- y que </w:t>
      </w:r>
      <w:r>
        <w:rPr>
          <w:rFonts w:ascii="Times New Roman" w:eastAsia="Times New Roman" w:hAnsi="Times New Roman"/>
          <w:sz w:val="26"/>
        </w:rPr>
        <w:t>“</w:t>
      </w:r>
      <w:r>
        <w:rPr>
          <w:rFonts w:ascii="Times New Roman" w:eastAsia="Times New Roman" w:hAnsi="Times New Roman"/>
          <w:i/>
          <w:sz w:val="26"/>
        </w:rPr>
        <w:t xml:space="preserve"> …la política de las autoridades era mantener alineado el mer</w:t>
      </w:r>
      <w:r>
        <w:rPr>
          <w:rFonts w:ascii="Times New Roman" w:eastAsia="Times New Roman" w:hAnsi="Times New Roman"/>
          <w:i/>
          <w:sz w:val="26"/>
        </w:rPr>
        <w:t>cado de cambios para no generar expectativas de devaluación…</w:t>
      </w:r>
      <w:r>
        <w:rPr>
          <w:rFonts w:ascii="Times New Roman" w:eastAsia="Times New Roman" w:hAnsi="Times New Roman"/>
          <w:i/>
          <w:sz w:val="26"/>
        </w:rPr>
        <w:t xml:space="preserve">” </w:t>
      </w:r>
      <w:r>
        <w:rPr>
          <w:rFonts w:ascii="Times New Roman" w:eastAsia="Times New Roman" w:hAnsi="Times New Roman"/>
          <w:sz w:val="26"/>
        </w:rPr>
        <w:t>-fs. 1348/50-.</w:t>
      </w:r>
    </w:p>
    <w:p w:rsidR="00000000" w:rsidRDefault="008824AB">
      <w:pPr>
        <w:spacing w:line="15" w:lineRule="exact"/>
        <w:rPr>
          <w:rFonts w:ascii="Times New Roman" w:eastAsia="Times New Roman" w:hAnsi="Times New Roman"/>
        </w:rPr>
      </w:pPr>
    </w:p>
    <w:p w:rsidR="00000000" w:rsidRDefault="008824AB">
      <w:pPr>
        <w:spacing w:line="357" w:lineRule="auto"/>
        <w:ind w:firstLine="2837"/>
        <w:rPr>
          <w:rFonts w:ascii="Times New Roman" w:eastAsia="Times New Roman" w:hAnsi="Times New Roman"/>
          <w:sz w:val="26"/>
        </w:rPr>
      </w:pPr>
      <w:r>
        <w:rPr>
          <w:rFonts w:ascii="Times New Roman" w:eastAsia="Times New Roman" w:hAnsi="Times New Roman"/>
          <w:sz w:val="26"/>
        </w:rPr>
        <w:t>No es casual entonces que el mayor volumen negociado de contratos de futuros se diera entre los meses de septiembre, octubre y noviembre y tuvieran vencimientos durante el corrie</w:t>
      </w:r>
      <w:r>
        <w:rPr>
          <w:rFonts w:ascii="Times New Roman" w:eastAsia="Times New Roman" w:hAnsi="Times New Roman"/>
          <w:sz w:val="26"/>
        </w:rPr>
        <w:t>nte año 2016, como así tampoco que para frenar la demanda se necesitara finalmente aceptar la propuesta del área técnica de, cuanto menos, aumentar el porcentaje de garantías.</w:t>
      </w:r>
    </w:p>
    <w:p w:rsidR="00000000" w:rsidRDefault="008824AB">
      <w:pPr>
        <w:spacing w:line="22" w:lineRule="exact"/>
        <w:rPr>
          <w:rFonts w:ascii="Times New Roman" w:eastAsia="Times New Roman" w:hAnsi="Times New Roman"/>
        </w:rPr>
      </w:pPr>
    </w:p>
    <w:p w:rsidR="00000000" w:rsidRDefault="008824AB">
      <w:pPr>
        <w:spacing w:line="358" w:lineRule="auto"/>
        <w:ind w:right="120" w:firstLine="2837"/>
        <w:rPr>
          <w:rFonts w:ascii="Times New Roman" w:eastAsia="Times New Roman" w:hAnsi="Times New Roman"/>
          <w:sz w:val="26"/>
        </w:rPr>
      </w:pPr>
      <w:r>
        <w:rPr>
          <w:rFonts w:ascii="Times New Roman" w:eastAsia="Times New Roman" w:hAnsi="Times New Roman"/>
          <w:sz w:val="26"/>
        </w:rPr>
        <w:t>Y en este punto, la intervención en los hechos de las autoridades a cargo de la</w:t>
      </w:r>
      <w:r>
        <w:rPr>
          <w:rFonts w:ascii="Times New Roman" w:eastAsia="Times New Roman" w:hAnsi="Times New Roman"/>
          <w:sz w:val="26"/>
        </w:rPr>
        <w:t xml:space="preserve"> Comisión Nacional de Valores queda en evidencia a poco que se repare que la pausada marcha del citado órgano de control tuvo frente a la potente intervención del Banco Central de la República Argentina en los mercados de futuros se modificó inmediatamente</w:t>
      </w:r>
      <w:r>
        <w:rPr>
          <w:rFonts w:ascii="Times New Roman" w:eastAsia="Times New Roman" w:hAnsi="Times New Roman"/>
          <w:sz w:val="26"/>
        </w:rPr>
        <w:t xml:space="preserve"> cuando las autoridades de este último decidieron aumentar las garantías para frenar la demanda de los convenientes contratos de futuros: el mismo día en que el Directorio del</w:t>
      </w:r>
    </w:p>
    <w:p w:rsidR="00000000" w:rsidRDefault="008824AB">
      <w:pPr>
        <w:spacing w:line="358" w:lineRule="auto"/>
        <w:ind w:right="120" w:firstLine="2837"/>
        <w:rPr>
          <w:rFonts w:ascii="Times New Roman" w:eastAsia="Times New Roman" w:hAnsi="Times New Roman"/>
          <w:sz w:val="26"/>
        </w:rPr>
        <w:sectPr w:rsidR="00000000">
          <w:pgSz w:w="11900" w:h="16840"/>
          <w:pgMar w:top="1440" w:right="3000" w:bottom="1440" w:left="1140" w:header="0" w:footer="0" w:gutter="0"/>
          <w:cols w:space="0" w:equalWidth="0">
            <w:col w:w="7760"/>
          </w:cols>
          <w:docGrid w:linePitch="360"/>
        </w:sectPr>
      </w:pPr>
    </w:p>
    <w:p w:rsidR="00000000" w:rsidRDefault="008824AB">
      <w:pPr>
        <w:spacing w:line="0" w:lineRule="atLeast"/>
        <w:ind w:left="440"/>
        <w:rPr>
          <w:sz w:val="24"/>
        </w:rPr>
      </w:pPr>
      <w:bookmarkStart w:id="18" w:name="page19"/>
      <w:bookmarkEnd w:id="18"/>
      <w:r>
        <w:rPr>
          <w:sz w:val="24"/>
        </w:rPr>
        <w:lastRenderedPageBreak/>
        <w:t>Año del Bicentenario de la Declaración de la Independencia Nacional</w:t>
      </w:r>
    </w:p>
    <w:p w:rsidR="00000000" w:rsidRDefault="002D0F24">
      <w:pPr>
        <w:spacing w:line="200" w:lineRule="exact"/>
        <w:rPr>
          <w:rFonts w:ascii="Times New Roman" w:eastAsia="Times New Roman" w:hAnsi="Times New Roman"/>
        </w:rPr>
      </w:pPr>
      <w:r>
        <w:rPr>
          <w:noProof/>
          <w:sz w:val="24"/>
        </w:rPr>
        <w:drawing>
          <wp:anchor distT="0" distB="0" distL="114300" distR="114300" simplePos="0" relativeHeight="251655168" behindDoc="1" locked="0" layoutInCell="0" allowOverlap="1">
            <wp:simplePos x="0" y="0"/>
            <wp:positionH relativeFrom="column">
              <wp:posOffset>2213610</wp:posOffset>
            </wp:positionH>
            <wp:positionV relativeFrom="paragraph">
              <wp:posOffset>50800</wp:posOffset>
            </wp:positionV>
            <wp:extent cx="374650" cy="575945"/>
            <wp:effectExtent l="19050" t="0" r="635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cstate="print"/>
                    <a:srcRect/>
                    <a:stretch>
                      <a:fillRect/>
                    </a:stretch>
                  </pic:blipFill>
                  <pic:spPr bwMode="auto">
                    <a:xfrm>
                      <a:off x="0" y="0"/>
                      <a:ext cx="374650" cy="575945"/>
                    </a:xfrm>
                    <a:prstGeom prst="rect">
                      <a:avLst/>
                    </a:prstGeom>
                    <a:noFill/>
                  </pic:spPr>
                </pic:pic>
              </a:graphicData>
            </a:graphic>
          </wp:anchor>
        </w:drawing>
      </w: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45" w:lineRule="exact"/>
        <w:rPr>
          <w:rFonts w:ascii="Times New Roman" w:eastAsia="Times New Roman" w:hAnsi="Times New Roman"/>
        </w:rPr>
      </w:pPr>
    </w:p>
    <w:p w:rsidR="00000000" w:rsidRDefault="008824AB">
      <w:pPr>
        <w:spacing w:line="0" w:lineRule="atLeast"/>
        <w:ind w:left="2240"/>
        <w:rPr>
          <w:rFonts w:ascii="Times New Roman" w:eastAsia="Times New Roman" w:hAnsi="Times New Roman"/>
          <w:sz w:val="28"/>
        </w:rPr>
      </w:pPr>
      <w:r>
        <w:rPr>
          <w:rFonts w:ascii="Times New Roman" w:eastAsia="Times New Roman" w:hAnsi="Times New Roman"/>
          <w:sz w:val="28"/>
        </w:rPr>
        <w:t>Poder</w:t>
      </w:r>
      <w:r>
        <w:rPr>
          <w:rFonts w:ascii="Times New Roman" w:eastAsia="Times New Roman" w:hAnsi="Times New Roman"/>
          <w:sz w:val="28"/>
        </w:rPr>
        <w:t xml:space="preserve"> Judicial de la Nación</w:t>
      </w:r>
    </w:p>
    <w:p w:rsidR="00000000" w:rsidRDefault="008824AB">
      <w:pPr>
        <w:spacing w:line="129" w:lineRule="exact"/>
        <w:rPr>
          <w:rFonts w:ascii="Times New Roman" w:eastAsia="Times New Roman" w:hAnsi="Times New Roman"/>
        </w:rPr>
      </w:pPr>
    </w:p>
    <w:p w:rsidR="00000000" w:rsidRDefault="008824AB">
      <w:pPr>
        <w:spacing w:line="239" w:lineRule="auto"/>
        <w:ind w:left="2680"/>
        <w:rPr>
          <w:rFonts w:ascii="Times New Roman" w:eastAsia="Times New Roman" w:hAnsi="Times New Roman"/>
          <w:sz w:val="18"/>
        </w:rPr>
      </w:pPr>
      <w:r>
        <w:rPr>
          <w:rFonts w:ascii="Times New Roman" w:eastAsia="Times New Roman" w:hAnsi="Times New Roman"/>
          <w:sz w:val="18"/>
        </w:rPr>
        <w:t>CAMARA CRIMINAL Y CORRECCIONAL FEDERAL - SALA 2</w:t>
      </w:r>
    </w:p>
    <w:p w:rsidR="00000000" w:rsidRDefault="008824AB">
      <w:pPr>
        <w:spacing w:line="239" w:lineRule="auto"/>
        <w:ind w:left="5740"/>
        <w:rPr>
          <w:rFonts w:ascii="Times New Roman" w:eastAsia="Times New Roman" w:hAnsi="Times New Roman"/>
          <w:sz w:val="18"/>
        </w:rPr>
      </w:pPr>
      <w:r>
        <w:rPr>
          <w:rFonts w:ascii="Times New Roman" w:eastAsia="Times New Roman" w:hAnsi="Times New Roman"/>
          <w:sz w:val="18"/>
        </w:rPr>
        <w:t>CFP 12152/2015/27/CA5</w:t>
      </w:r>
    </w:p>
    <w:p w:rsidR="00000000" w:rsidRDefault="008824AB">
      <w:pPr>
        <w:spacing w:line="293" w:lineRule="exact"/>
        <w:rPr>
          <w:rFonts w:ascii="Times New Roman" w:eastAsia="Times New Roman" w:hAnsi="Times New Roman"/>
        </w:rPr>
      </w:pPr>
    </w:p>
    <w:p w:rsidR="00000000" w:rsidRDefault="008824AB">
      <w:pPr>
        <w:spacing w:line="359" w:lineRule="auto"/>
        <w:ind w:right="60"/>
        <w:rPr>
          <w:rFonts w:ascii="Times New Roman" w:eastAsia="Times New Roman" w:hAnsi="Times New Roman"/>
          <w:sz w:val="26"/>
        </w:rPr>
      </w:pPr>
      <w:r>
        <w:rPr>
          <w:rFonts w:ascii="Times New Roman" w:eastAsia="Times New Roman" w:hAnsi="Times New Roman"/>
          <w:sz w:val="26"/>
        </w:rPr>
        <w:t xml:space="preserve">BCRA resolvió elevar al 20% las garantías a ser integradas por las entidades a efectos de </w:t>
      </w:r>
      <w:r>
        <w:rPr>
          <w:rFonts w:ascii="Times New Roman" w:eastAsia="Times New Roman" w:hAnsi="Times New Roman"/>
          <w:sz w:val="26"/>
        </w:rPr>
        <w:t xml:space="preserve">“ </w:t>
      </w:r>
      <w:r>
        <w:rPr>
          <w:rFonts w:ascii="Times New Roman" w:eastAsia="Times New Roman" w:hAnsi="Times New Roman"/>
          <w:i/>
          <w:sz w:val="26"/>
        </w:rPr>
        <w:t>mejorar la posición de respaldo de las nuevas</w:t>
      </w:r>
      <w:r>
        <w:rPr>
          <w:rFonts w:ascii="Times New Roman" w:eastAsia="Times New Roman" w:hAnsi="Times New Roman"/>
          <w:sz w:val="26"/>
        </w:rPr>
        <w:t xml:space="preserve"> </w:t>
      </w:r>
      <w:r>
        <w:rPr>
          <w:rFonts w:ascii="Times New Roman" w:eastAsia="Times New Roman" w:hAnsi="Times New Roman"/>
          <w:i/>
          <w:sz w:val="26"/>
        </w:rPr>
        <w:t>operaciones</w:t>
      </w:r>
      <w:r>
        <w:rPr>
          <w:rFonts w:ascii="Times New Roman" w:eastAsia="Times New Roman" w:hAnsi="Times New Roman"/>
          <w:sz w:val="26"/>
        </w:rPr>
        <w:t xml:space="preserve">” en lo que </w:t>
      </w:r>
      <w:r>
        <w:rPr>
          <w:rFonts w:ascii="Times New Roman" w:eastAsia="Times New Roman" w:hAnsi="Times New Roman"/>
          <w:sz w:val="26"/>
        </w:rPr>
        <w:t>respecta a su intervención en el MAE, la</w:t>
      </w:r>
      <w:r>
        <w:rPr>
          <w:rFonts w:ascii="Times New Roman" w:eastAsia="Times New Roman" w:hAnsi="Times New Roman"/>
          <w:i/>
          <w:sz w:val="26"/>
        </w:rPr>
        <w:t xml:space="preserve"> </w:t>
      </w:r>
      <w:r>
        <w:rPr>
          <w:rFonts w:ascii="Times New Roman" w:eastAsia="Times New Roman" w:hAnsi="Times New Roman"/>
          <w:sz w:val="26"/>
        </w:rPr>
        <w:t>Comisión Nacional de Valores inició el expediente n° 3344, solicitó y obtuvo dictamen de la Gerencia de Asuntos Jurídicos, de la Subgerencia de Asesoramiento Legal y de la Gerencia General de Asuntos Jurídicos, y, f</w:t>
      </w:r>
      <w:r>
        <w:rPr>
          <w:rFonts w:ascii="Times New Roman" w:eastAsia="Times New Roman" w:hAnsi="Times New Roman"/>
          <w:sz w:val="26"/>
        </w:rPr>
        <w:t>inalmente, el Directorio -conformado por Cristian Alexis Girard, Guillermo Mario Pavan y David Rene Jacoby- se reunió y aprobó ese mismo 30 de octubre la Resolución 649 a través de la cual subió el porcentaje de las garantías al 20% para todos los mercados</w:t>
      </w:r>
      <w:r>
        <w:rPr>
          <w:rFonts w:ascii="Times New Roman" w:eastAsia="Times New Roman" w:hAnsi="Times New Roman"/>
          <w:sz w:val="26"/>
        </w:rPr>
        <w:t xml:space="preserve"> y en pesos - conf. expediente n° 3344/2015 Modificación Normas Garantía de Contratos-.</w:t>
      </w:r>
    </w:p>
    <w:p w:rsidR="00000000" w:rsidRDefault="008824AB">
      <w:pPr>
        <w:spacing w:line="14" w:lineRule="exact"/>
        <w:rPr>
          <w:rFonts w:ascii="Times New Roman" w:eastAsia="Times New Roman" w:hAnsi="Times New Roman"/>
        </w:rPr>
      </w:pPr>
    </w:p>
    <w:p w:rsidR="00000000" w:rsidRDefault="008824AB">
      <w:pPr>
        <w:spacing w:line="358" w:lineRule="auto"/>
        <w:ind w:firstLine="2837"/>
        <w:rPr>
          <w:rFonts w:ascii="Times New Roman" w:eastAsia="Times New Roman" w:hAnsi="Times New Roman"/>
          <w:sz w:val="26"/>
        </w:rPr>
      </w:pPr>
      <w:r>
        <w:rPr>
          <w:rFonts w:ascii="Times New Roman" w:eastAsia="Times New Roman" w:hAnsi="Times New Roman"/>
          <w:sz w:val="26"/>
        </w:rPr>
        <w:t>Dicha celeridad, sin embargo, no se verificó cuando el ROFEX modificaba las condiciones de operación en el mercado. Fue recién el 30 de noviembre de 2015 que los nomb</w:t>
      </w:r>
      <w:r>
        <w:rPr>
          <w:rFonts w:ascii="Times New Roman" w:eastAsia="Times New Roman" w:hAnsi="Times New Roman"/>
          <w:sz w:val="26"/>
        </w:rPr>
        <w:t xml:space="preserve">rados Girard, Pavan y Jacoby -previo requerir la opinión del Presidente del Banco Central de la República Argentina- dictaron la Resolución 17.909 a través de la cual dispusieron </w:t>
      </w:r>
      <w:r>
        <w:rPr>
          <w:rFonts w:ascii="Times New Roman" w:eastAsia="Times New Roman" w:hAnsi="Times New Roman"/>
          <w:sz w:val="26"/>
        </w:rPr>
        <w:t>“</w:t>
      </w:r>
      <w:r>
        <w:rPr>
          <w:rFonts w:ascii="Times New Roman" w:eastAsia="Times New Roman" w:hAnsi="Times New Roman"/>
          <w:i/>
          <w:sz w:val="26"/>
        </w:rPr>
        <w:t>…interrumpir transitoriamente la</w:t>
      </w:r>
      <w:r>
        <w:rPr>
          <w:rFonts w:ascii="Times New Roman" w:eastAsia="Times New Roman" w:hAnsi="Times New Roman"/>
          <w:sz w:val="26"/>
        </w:rPr>
        <w:t xml:space="preserve"> </w:t>
      </w:r>
      <w:r>
        <w:rPr>
          <w:rFonts w:ascii="Times New Roman" w:eastAsia="Times New Roman" w:hAnsi="Times New Roman"/>
          <w:i/>
          <w:sz w:val="26"/>
        </w:rPr>
        <w:t>apertura de nuevas posiciones sobre contrat</w:t>
      </w:r>
      <w:r>
        <w:rPr>
          <w:rFonts w:ascii="Times New Roman" w:eastAsia="Times New Roman" w:hAnsi="Times New Roman"/>
          <w:i/>
          <w:sz w:val="26"/>
        </w:rPr>
        <w:t>os de futuros de dólar…</w:t>
      </w:r>
      <w:r>
        <w:rPr>
          <w:rFonts w:ascii="Times New Roman" w:eastAsia="Times New Roman" w:hAnsi="Times New Roman"/>
          <w:sz w:val="26"/>
        </w:rPr>
        <w:t>” en</w:t>
      </w:r>
    </w:p>
    <w:p w:rsidR="00000000" w:rsidRDefault="008824AB">
      <w:pPr>
        <w:spacing w:line="17" w:lineRule="exact"/>
        <w:rPr>
          <w:rFonts w:ascii="Times New Roman" w:eastAsia="Times New Roman" w:hAnsi="Times New Roman"/>
        </w:rPr>
      </w:pPr>
    </w:p>
    <w:p w:rsidR="00000000" w:rsidRDefault="008824AB">
      <w:pPr>
        <w:spacing w:line="357" w:lineRule="auto"/>
        <w:rPr>
          <w:rFonts w:ascii="Times New Roman" w:eastAsia="Times New Roman" w:hAnsi="Times New Roman"/>
          <w:sz w:val="26"/>
        </w:rPr>
      </w:pPr>
      <w:r>
        <w:rPr>
          <w:rFonts w:ascii="Times New Roman" w:eastAsia="Times New Roman" w:hAnsi="Times New Roman"/>
          <w:sz w:val="26"/>
        </w:rPr>
        <w:t xml:space="preserve">el ámbito de los mercados autorizados en razón de que </w:t>
      </w:r>
      <w:r>
        <w:rPr>
          <w:rFonts w:ascii="Times New Roman" w:eastAsia="Times New Roman" w:hAnsi="Times New Roman"/>
          <w:sz w:val="26"/>
        </w:rPr>
        <w:t>“</w:t>
      </w:r>
      <w:r>
        <w:rPr>
          <w:rFonts w:ascii="Times New Roman" w:eastAsia="Times New Roman" w:hAnsi="Times New Roman"/>
          <w:i/>
          <w:sz w:val="26"/>
        </w:rPr>
        <w:t>…la operatoria</w:t>
      </w:r>
      <w:r>
        <w:rPr>
          <w:rFonts w:ascii="Times New Roman" w:eastAsia="Times New Roman" w:hAnsi="Times New Roman"/>
          <w:sz w:val="26"/>
        </w:rPr>
        <w:t xml:space="preserve"> </w:t>
      </w:r>
      <w:r>
        <w:rPr>
          <w:rFonts w:ascii="Times New Roman" w:eastAsia="Times New Roman" w:hAnsi="Times New Roman"/>
          <w:i/>
          <w:sz w:val="26"/>
        </w:rPr>
        <w:t xml:space="preserve">de Contratos de Futuros de Dólar se vienen desenvolviendo en un contexto de </w:t>
      </w:r>
      <w:r>
        <w:rPr>
          <w:rFonts w:ascii="Times New Roman" w:eastAsia="Times New Roman" w:hAnsi="Times New Roman"/>
          <w:b/>
          <w:i/>
          <w:sz w:val="26"/>
        </w:rPr>
        <w:t>anomalía desde el 20/11/2015</w:t>
      </w:r>
      <w:r>
        <w:rPr>
          <w:rFonts w:ascii="Times New Roman" w:eastAsia="Times New Roman" w:hAnsi="Times New Roman"/>
          <w:i/>
          <w:sz w:val="26"/>
        </w:rPr>
        <w:t>…</w:t>
      </w:r>
      <w:r>
        <w:rPr>
          <w:rFonts w:ascii="Times New Roman" w:eastAsia="Times New Roman" w:hAnsi="Times New Roman"/>
          <w:sz w:val="26"/>
        </w:rPr>
        <w:t>” -conf. fs 20/2 del</w:t>
      </w:r>
      <w:r>
        <w:rPr>
          <w:rFonts w:ascii="Times New Roman" w:eastAsia="Times New Roman" w:hAnsi="Times New Roman"/>
          <w:i/>
          <w:sz w:val="26"/>
        </w:rPr>
        <w:t xml:space="preserve"> </w:t>
      </w:r>
      <w:r>
        <w:rPr>
          <w:rFonts w:ascii="Times New Roman" w:eastAsia="Times New Roman" w:hAnsi="Times New Roman"/>
          <w:sz w:val="26"/>
        </w:rPr>
        <w:t xml:space="preserve">expediente 3666/2015 Mercado a </w:t>
      </w:r>
      <w:r>
        <w:rPr>
          <w:rFonts w:ascii="Times New Roman" w:eastAsia="Times New Roman" w:hAnsi="Times New Roman"/>
          <w:sz w:val="26"/>
        </w:rPr>
        <w:t>Término de Rosario SA s/hecho relevante 27/11/2015-.</w:t>
      </w:r>
    </w:p>
    <w:p w:rsidR="00000000" w:rsidRDefault="008824AB">
      <w:pPr>
        <w:spacing w:line="18" w:lineRule="exact"/>
        <w:rPr>
          <w:rFonts w:ascii="Times New Roman" w:eastAsia="Times New Roman" w:hAnsi="Times New Roman"/>
        </w:rPr>
      </w:pPr>
    </w:p>
    <w:p w:rsidR="00000000" w:rsidRDefault="008824AB">
      <w:pPr>
        <w:spacing w:line="355" w:lineRule="auto"/>
        <w:ind w:right="60" w:firstLine="2837"/>
        <w:rPr>
          <w:rFonts w:ascii="Times New Roman" w:eastAsia="Times New Roman" w:hAnsi="Times New Roman"/>
          <w:sz w:val="26"/>
        </w:rPr>
      </w:pPr>
      <w:r>
        <w:rPr>
          <w:rFonts w:ascii="Times New Roman" w:eastAsia="Times New Roman" w:hAnsi="Times New Roman"/>
          <w:sz w:val="26"/>
        </w:rPr>
        <w:t>En conclusión, lo que esta investigación ha permitido tener por acreditado es que, siguiendo instrucciones del Poder Ejecutivo Nacional -tanto de Fernandez de Kirchner como de Kicillof-,</w:t>
      </w:r>
    </w:p>
    <w:p w:rsidR="00000000" w:rsidRDefault="008824AB">
      <w:pPr>
        <w:spacing w:line="355" w:lineRule="auto"/>
        <w:ind w:right="60" w:firstLine="2837"/>
        <w:rPr>
          <w:rFonts w:ascii="Times New Roman" w:eastAsia="Times New Roman" w:hAnsi="Times New Roman"/>
          <w:sz w:val="26"/>
        </w:rPr>
        <w:sectPr w:rsidR="00000000">
          <w:pgSz w:w="11900" w:h="16840"/>
          <w:pgMar w:top="373" w:right="1060" w:bottom="1440" w:left="3200" w:header="0" w:footer="0" w:gutter="0"/>
          <w:cols w:space="0" w:equalWidth="0">
            <w:col w:w="7640"/>
          </w:cols>
          <w:docGrid w:linePitch="360"/>
        </w:sectPr>
      </w:pPr>
    </w:p>
    <w:p w:rsidR="00000000" w:rsidRDefault="008824AB">
      <w:pPr>
        <w:spacing w:line="200" w:lineRule="exact"/>
        <w:rPr>
          <w:rFonts w:ascii="Times New Roman" w:eastAsia="Times New Roman" w:hAnsi="Times New Roman"/>
        </w:rPr>
      </w:pPr>
      <w:bookmarkStart w:id="19" w:name="page20"/>
      <w:bookmarkEnd w:id="19"/>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27" w:lineRule="exact"/>
        <w:rPr>
          <w:rFonts w:ascii="Times New Roman" w:eastAsia="Times New Roman" w:hAnsi="Times New Roman"/>
        </w:rPr>
      </w:pPr>
    </w:p>
    <w:p w:rsidR="00000000" w:rsidRDefault="008824AB">
      <w:pPr>
        <w:spacing w:line="357" w:lineRule="auto"/>
        <w:ind w:right="120"/>
        <w:rPr>
          <w:rFonts w:ascii="Times New Roman" w:eastAsia="Times New Roman" w:hAnsi="Times New Roman"/>
          <w:sz w:val="26"/>
        </w:rPr>
      </w:pPr>
      <w:r>
        <w:rPr>
          <w:rFonts w:ascii="Times New Roman" w:eastAsia="Times New Roman" w:hAnsi="Times New Roman"/>
          <w:sz w:val="26"/>
        </w:rPr>
        <w:t>las aut</w:t>
      </w:r>
      <w:r>
        <w:rPr>
          <w:rFonts w:ascii="Times New Roman" w:eastAsia="Times New Roman" w:hAnsi="Times New Roman"/>
          <w:sz w:val="26"/>
        </w:rPr>
        <w:t>oridades del Banco Central de la República Argentina, con la necesaria intervención de las de la Comisión Nacional de Valores, vendieron en un muy breve período de tiempo un volumen descomunal de contratos de futuros en dólares a valores ficticios, obligan</w:t>
      </w:r>
      <w:r>
        <w:rPr>
          <w:rFonts w:ascii="Times New Roman" w:eastAsia="Times New Roman" w:hAnsi="Times New Roman"/>
          <w:sz w:val="26"/>
        </w:rPr>
        <w:t>do de esa forma abusivamente a la entidad y, por consiguiente, a la sociedad como soberana de los bienes públicos.</w:t>
      </w:r>
    </w:p>
    <w:p w:rsidR="00000000" w:rsidRDefault="008824AB">
      <w:pPr>
        <w:spacing w:line="22" w:lineRule="exact"/>
        <w:rPr>
          <w:rFonts w:ascii="Times New Roman" w:eastAsia="Times New Roman" w:hAnsi="Times New Roman"/>
        </w:rPr>
      </w:pPr>
    </w:p>
    <w:p w:rsidR="00000000" w:rsidRDefault="008824AB">
      <w:pPr>
        <w:spacing w:line="358" w:lineRule="auto"/>
        <w:ind w:right="120" w:firstLine="2837"/>
        <w:rPr>
          <w:rFonts w:ascii="Times New Roman" w:eastAsia="Times New Roman" w:hAnsi="Times New Roman"/>
          <w:sz w:val="26"/>
        </w:rPr>
      </w:pPr>
      <w:r>
        <w:rPr>
          <w:rFonts w:ascii="Times New Roman" w:eastAsia="Times New Roman" w:hAnsi="Times New Roman"/>
          <w:sz w:val="26"/>
        </w:rPr>
        <w:t xml:space="preserve">Es por las razones expuestas que, habiéndose conformado el cuadro de certeza exigido en esta instancia del proceso, la homologación de los </w:t>
      </w:r>
      <w:r>
        <w:rPr>
          <w:rFonts w:ascii="Times New Roman" w:eastAsia="Times New Roman" w:hAnsi="Times New Roman"/>
          <w:sz w:val="26"/>
        </w:rPr>
        <w:t>procesamientos dictados se impone, debiendo sólo agregarse que, con la provisoriedad que caracteriza su discernimiento y sin perjuicio de cuanto sobre el punto defina el tribunal de juicio que eventualmente pudiera intervenir, la calificación legal asignad</w:t>
      </w:r>
      <w:r>
        <w:rPr>
          <w:rFonts w:ascii="Times New Roman" w:eastAsia="Times New Roman" w:hAnsi="Times New Roman"/>
          <w:sz w:val="26"/>
        </w:rPr>
        <w:t>a luce acertada.</w:t>
      </w:r>
    </w:p>
    <w:p w:rsidR="00000000" w:rsidRDefault="008824AB">
      <w:pPr>
        <w:spacing w:line="7" w:lineRule="exact"/>
        <w:rPr>
          <w:rFonts w:ascii="Times New Roman" w:eastAsia="Times New Roman" w:hAnsi="Times New Roman"/>
        </w:rPr>
      </w:pPr>
    </w:p>
    <w:p w:rsidR="00000000" w:rsidRDefault="008824AB">
      <w:pPr>
        <w:spacing w:line="359" w:lineRule="auto"/>
        <w:ind w:firstLine="2837"/>
        <w:rPr>
          <w:rFonts w:ascii="Times New Roman" w:eastAsia="Times New Roman" w:hAnsi="Times New Roman"/>
          <w:sz w:val="26"/>
        </w:rPr>
      </w:pPr>
      <w:r>
        <w:rPr>
          <w:rFonts w:ascii="Times New Roman" w:eastAsia="Times New Roman" w:hAnsi="Times New Roman"/>
          <w:b/>
          <w:sz w:val="26"/>
        </w:rPr>
        <w:t xml:space="preserve">IV.e- </w:t>
      </w:r>
      <w:r>
        <w:rPr>
          <w:rFonts w:ascii="Times New Roman" w:eastAsia="Times New Roman" w:hAnsi="Times New Roman"/>
          <w:sz w:val="26"/>
        </w:rPr>
        <w:t>Idéntica suerte habrá de correr el</w:t>
      </w:r>
      <w:r>
        <w:rPr>
          <w:rFonts w:ascii="Times New Roman" w:eastAsia="Times New Roman" w:hAnsi="Times New Roman"/>
          <w:b/>
          <w:sz w:val="26"/>
        </w:rPr>
        <w:t xml:space="preserve"> </w:t>
      </w:r>
      <w:r>
        <w:rPr>
          <w:rFonts w:ascii="Times New Roman" w:eastAsia="Times New Roman" w:hAnsi="Times New Roman"/>
          <w:sz w:val="26"/>
        </w:rPr>
        <w:t>examen de los montos de los embargos, pues las sumas a las que arribó el magistrado lucen acordes a los conceptos cuya eventual satisfacción tiende a cubrir de conformidad con las pautas valorativa</w:t>
      </w:r>
      <w:r>
        <w:rPr>
          <w:rFonts w:ascii="Times New Roman" w:eastAsia="Times New Roman" w:hAnsi="Times New Roman"/>
          <w:sz w:val="26"/>
        </w:rPr>
        <w:t>s contenidas en el artículo 518 del Código Procesal Penal de la Nación, debiendo solo agregarse que las partes no han desarrollado con suficiencia argumentos que permitan controvertir la valoración efectuada en la pieza recurrida.</w:t>
      </w:r>
    </w:p>
    <w:p w:rsidR="00000000" w:rsidRDefault="008824AB">
      <w:pPr>
        <w:spacing w:line="14" w:lineRule="exact"/>
        <w:rPr>
          <w:rFonts w:ascii="Times New Roman" w:eastAsia="Times New Roman" w:hAnsi="Times New Roman"/>
        </w:rPr>
      </w:pPr>
    </w:p>
    <w:p w:rsidR="00000000" w:rsidRDefault="008824AB">
      <w:pPr>
        <w:spacing w:line="239" w:lineRule="auto"/>
        <w:ind w:left="2820"/>
        <w:rPr>
          <w:rFonts w:ascii="Times New Roman" w:eastAsia="Times New Roman" w:hAnsi="Times New Roman"/>
          <w:b/>
          <w:sz w:val="26"/>
        </w:rPr>
      </w:pPr>
      <w:r>
        <w:rPr>
          <w:rFonts w:ascii="Times New Roman" w:eastAsia="Times New Roman" w:hAnsi="Times New Roman"/>
          <w:b/>
          <w:sz w:val="26"/>
        </w:rPr>
        <w:t xml:space="preserve">V. El Dr. Eduardo Farah </w:t>
      </w:r>
      <w:r>
        <w:rPr>
          <w:rFonts w:ascii="Times New Roman" w:eastAsia="Times New Roman" w:hAnsi="Times New Roman"/>
          <w:b/>
          <w:sz w:val="26"/>
        </w:rPr>
        <w:t>dijo:</w:t>
      </w:r>
    </w:p>
    <w:p w:rsidR="00000000" w:rsidRDefault="008824AB">
      <w:pPr>
        <w:spacing w:line="156" w:lineRule="exact"/>
        <w:rPr>
          <w:rFonts w:ascii="Times New Roman" w:eastAsia="Times New Roman" w:hAnsi="Times New Roman"/>
        </w:rPr>
      </w:pPr>
    </w:p>
    <w:p w:rsidR="00000000" w:rsidRDefault="008824AB">
      <w:pPr>
        <w:spacing w:line="348" w:lineRule="auto"/>
        <w:ind w:right="180" w:firstLine="2837"/>
        <w:rPr>
          <w:rFonts w:ascii="Times New Roman" w:eastAsia="Times New Roman" w:hAnsi="Times New Roman"/>
          <w:sz w:val="26"/>
        </w:rPr>
      </w:pPr>
      <w:r>
        <w:rPr>
          <w:rFonts w:ascii="Times New Roman" w:eastAsia="Times New Roman" w:hAnsi="Times New Roman"/>
          <w:sz w:val="26"/>
        </w:rPr>
        <w:t>Adhiero en un todo al voto precedente y a ello agrego las siguientes consideraciones.</w:t>
      </w:r>
    </w:p>
    <w:p w:rsidR="00000000" w:rsidRDefault="008824AB">
      <w:pPr>
        <w:spacing w:line="23" w:lineRule="exact"/>
        <w:rPr>
          <w:rFonts w:ascii="Times New Roman" w:eastAsia="Times New Roman" w:hAnsi="Times New Roman"/>
        </w:rPr>
      </w:pPr>
    </w:p>
    <w:p w:rsidR="00000000" w:rsidRDefault="008824AB">
      <w:pPr>
        <w:spacing w:line="239" w:lineRule="auto"/>
        <w:ind w:left="2820"/>
        <w:rPr>
          <w:rFonts w:ascii="Times New Roman" w:eastAsia="Times New Roman" w:hAnsi="Times New Roman"/>
          <w:b/>
          <w:sz w:val="26"/>
        </w:rPr>
      </w:pPr>
      <w:r>
        <w:rPr>
          <w:rFonts w:ascii="Times New Roman" w:eastAsia="Times New Roman" w:hAnsi="Times New Roman"/>
          <w:b/>
          <w:sz w:val="26"/>
        </w:rPr>
        <w:t xml:space="preserve">V.a- </w:t>
      </w:r>
      <w:r>
        <w:rPr>
          <w:rFonts w:ascii="Times New Roman" w:eastAsia="Times New Roman" w:hAnsi="Times New Roman"/>
          <w:b/>
          <w:sz w:val="26"/>
          <w:u w:val="single"/>
        </w:rPr>
        <w:t>Primero</w:t>
      </w:r>
      <w:r>
        <w:rPr>
          <w:rFonts w:ascii="Times New Roman" w:eastAsia="Times New Roman" w:hAnsi="Times New Roman"/>
          <w:b/>
          <w:sz w:val="26"/>
        </w:rPr>
        <w:t>:</w:t>
      </w:r>
    </w:p>
    <w:p w:rsidR="00000000" w:rsidRDefault="008824AB">
      <w:pPr>
        <w:spacing w:line="146" w:lineRule="exact"/>
        <w:rPr>
          <w:rFonts w:ascii="Times New Roman" w:eastAsia="Times New Roman" w:hAnsi="Times New Roman"/>
        </w:rPr>
      </w:pPr>
    </w:p>
    <w:p w:rsidR="00000000" w:rsidRDefault="008824AB">
      <w:pPr>
        <w:spacing w:line="359" w:lineRule="auto"/>
        <w:ind w:right="180" w:firstLine="2837"/>
        <w:rPr>
          <w:rFonts w:ascii="Times New Roman" w:eastAsia="Times New Roman" w:hAnsi="Times New Roman"/>
          <w:sz w:val="26"/>
        </w:rPr>
      </w:pPr>
      <w:r>
        <w:rPr>
          <w:rFonts w:ascii="Times New Roman" w:eastAsia="Times New Roman" w:hAnsi="Times New Roman"/>
          <w:b/>
          <w:sz w:val="26"/>
        </w:rPr>
        <w:t xml:space="preserve">1) </w:t>
      </w:r>
      <w:r>
        <w:rPr>
          <w:rFonts w:ascii="Times New Roman" w:eastAsia="Times New Roman" w:hAnsi="Times New Roman"/>
          <w:sz w:val="26"/>
        </w:rPr>
        <w:t>El primero de los agravios que todas las</w:t>
      </w:r>
      <w:r>
        <w:rPr>
          <w:rFonts w:ascii="Times New Roman" w:eastAsia="Times New Roman" w:hAnsi="Times New Roman"/>
          <w:b/>
          <w:sz w:val="26"/>
        </w:rPr>
        <w:t xml:space="preserve"> </w:t>
      </w:r>
      <w:r>
        <w:rPr>
          <w:rFonts w:ascii="Times New Roman" w:eastAsia="Times New Roman" w:hAnsi="Times New Roman"/>
          <w:sz w:val="26"/>
        </w:rPr>
        <w:t>defensas, sin excepción, han expuesto contra la resolución de primera instancia, es que las operaciones</w:t>
      </w:r>
      <w:r>
        <w:rPr>
          <w:rFonts w:ascii="Times New Roman" w:eastAsia="Times New Roman" w:hAnsi="Times New Roman"/>
          <w:sz w:val="26"/>
        </w:rPr>
        <w:t xml:space="preserve"> de venta de dólares a futuro realizadas</w:t>
      </w:r>
    </w:p>
    <w:p w:rsidR="00000000" w:rsidRDefault="008824AB">
      <w:pPr>
        <w:spacing w:line="359" w:lineRule="auto"/>
        <w:ind w:right="180" w:firstLine="2837"/>
        <w:rPr>
          <w:rFonts w:ascii="Times New Roman" w:eastAsia="Times New Roman" w:hAnsi="Times New Roman"/>
          <w:sz w:val="26"/>
        </w:rPr>
        <w:sectPr w:rsidR="00000000">
          <w:pgSz w:w="11900" w:h="16840"/>
          <w:pgMar w:top="1440" w:right="3000" w:bottom="1440" w:left="1140" w:header="0" w:footer="0" w:gutter="0"/>
          <w:cols w:space="0" w:equalWidth="0">
            <w:col w:w="7760"/>
          </w:cols>
          <w:docGrid w:linePitch="360"/>
        </w:sectPr>
      </w:pPr>
    </w:p>
    <w:p w:rsidR="00000000" w:rsidRDefault="008824AB">
      <w:pPr>
        <w:spacing w:line="0" w:lineRule="atLeast"/>
        <w:ind w:left="440"/>
        <w:rPr>
          <w:sz w:val="24"/>
        </w:rPr>
      </w:pPr>
      <w:bookmarkStart w:id="20" w:name="page21"/>
      <w:bookmarkEnd w:id="20"/>
      <w:r>
        <w:rPr>
          <w:sz w:val="24"/>
        </w:rPr>
        <w:lastRenderedPageBreak/>
        <w:t>Año del Bicentenario de la Declaración de la Independencia Nacional</w:t>
      </w:r>
    </w:p>
    <w:p w:rsidR="00000000" w:rsidRDefault="002D0F24">
      <w:pPr>
        <w:spacing w:line="200" w:lineRule="exact"/>
        <w:rPr>
          <w:rFonts w:ascii="Times New Roman" w:eastAsia="Times New Roman" w:hAnsi="Times New Roman"/>
        </w:rPr>
      </w:pPr>
      <w:r>
        <w:rPr>
          <w:noProof/>
          <w:sz w:val="24"/>
        </w:rPr>
        <w:drawing>
          <wp:anchor distT="0" distB="0" distL="114300" distR="114300" simplePos="0" relativeHeight="251658240" behindDoc="1" locked="0" layoutInCell="0" allowOverlap="1">
            <wp:simplePos x="0" y="0"/>
            <wp:positionH relativeFrom="column">
              <wp:posOffset>2213610</wp:posOffset>
            </wp:positionH>
            <wp:positionV relativeFrom="paragraph">
              <wp:posOffset>50800</wp:posOffset>
            </wp:positionV>
            <wp:extent cx="374650" cy="575945"/>
            <wp:effectExtent l="19050" t="0" r="635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cstate="print"/>
                    <a:srcRect/>
                    <a:stretch>
                      <a:fillRect/>
                    </a:stretch>
                  </pic:blipFill>
                  <pic:spPr bwMode="auto">
                    <a:xfrm>
                      <a:off x="0" y="0"/>
                      <a:ext cx="374650" cy="575945"/>
                    </a:xfrm>
                    <a:prstGeom prst="rect">
                      <a:avLst/>
                    </a:prstGeom>
                    <a:noFill/>
                  </pic:spPr>
                </pic:pic>
              </a:graphicData>
            </a:graphic>
          </wp:anchor>
        </w:drawing>
      </w: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45" w:lineRule="exact"/>
        <w:rPr>
          <w:rFonts w:ascii="Times New Roman" w:eastAsia="Times New Roman" w:hAnsi="Times New Roman"/>
        </w:rPr>
      </w:pPr>
    </w:p>
    <w:p w:rsidR="00000000" w:rsidRDefault="008824AB">
      <w:pPr>
        <w:spacing w:line="0" w:lineRule="atLeast"/>
        <w:ind w:left="2240"/>
        <w:rPr>
          <w:rFonts w:ascii="Times New Roman" w:eastAsia="Times New Roman" w:hAnsi="Times New Roman"/>
          <w:sz w:val="28"/>
        </w:rPr>
      </w:pPr>
      <w:r>
        <w:rPr>
          <w:rFonts w:ascii="Times New Roman" w:eastAsia="Times New Roman" w:hAnsi="Times New Roman"/>
          <w:sz w:val="28"/>
        </w:rPr>
        <w:t>Poder Judicial de la Nación</w:t>
      </w:r>
    </w:p>
    <w:p w:rsidR="00000000" w:rsidRDefault="008824AB">
      <w:pPr>
        <w:spacing w:line="129" w:lineRule="exact"/>
        <w:rPr>
          <w:rFonts w:ascii="Times New Roman" w:eastAsia="Times New Roman" w:hAnsi="Times New Roman"/>
        </w:rPr>
      </w:pPr>
    </w:p>
    <w:p w:rsidR="00000000" w:rsidRDefault="008824AB">
      <w:pPr>
        <w:spacing w:line="239" w:lineRule="auto"/>
        <w:ind w:left="2680"/>
        <w:rPr>
          <w:rFonts w:ascii="Times New Roman" w:eastAsia="Times New Roman" w:hAnsi="Times New Roman"/>
          <w:sz w:val="18"/>
        </w:rPr>
      </w:pPr>
      <w:r>
        <w:rPr>
          <w:rFonts w:ascii="Times New Roman" w:eastAsia="Times New Roman" w:hAnsi="Times New Roman"/>
          <w:sz w:val="18"/>
        </w:rPr>
        <w:t>CAMARA CRIMINAL Y CORRECCIONAL FEDERAL - SALA 2</w:t>
      </w:r>
    </w:p>
    <w:p w:rsidR="00000000" w:rsidRDefault="008824AB">
      <w:pPr>
        <w:spacing w:line="239" w:lineRule="auto"/>
        <w:ind w:left="5740"/>
        <w:rPr>
          <w:rFonts w:ascii="Times New Roman" w:eastAsia="Times New Roman" w:hAnsi="Times New Roman"/>
          <w:sz w:val="18"/>
        </w:rPr>
      </w:pPr>
      <w:r>
        <w:rPr>
          <w:rFonts w:ascii="Times New Roman" w:eastAsia="Times New Roman" w:hAnsi="Times New Roman"/>
          <w:sz w:val="18"/>
        </w:rPr>
        <w:t>CFP 12152/2015/27/CA5</w:t>
      </w:r>
    </w:p>
    <w:p w:rsidR="00000000" w:rsidRDefault="008824AB">
      <w:pPr>
        <w:spacing w:line="293" w:lineRule="exact"/>
        <w:rPr>
          <w:rFonts w:ascii="Times New Roman" w:eastAsia="Times New Roman" w:hAnsi="Times New Roman"/>
        </w:rPr>
      </w:pPr>
    </w:p>
    <w:p w:rsidR="00000000" w:rsidRDefault="008824AB">
      <w:pPr>
        <w:spacing w:line="357" w:lineRule="auto"/>
        <w:ind w:right="160"/>
        <w:rPr>
          <w:rFonts w:ascii="Times New Roman" w:eastAsia="Times New Roman" w:hAnsi="Times New Roman"/>
          <w:sz w:val="26"/>
        </w:rPr>
      </w:pPr>
      <w:r>
        <w:rPr>
          <w:rFonts w:ascii="Times New Roman" w:eastAsia="Times New Roman" w:hAnsi="Times New Roman"/>
          <w:sz w:val="26"/>
        </w:rPr>
        <w:t>por el BCRA en los meses de septiembre a</w:t>
      </w:r>
      <w:r>
        <w:rPr>
          <w:rFonts w:ascii="Times New Roman" w:eastAsia="Times New Roman" w:hAnsi="Times New Roman"/>
          <w:sz w:val="26"/>
        </w:rPr>
        <w:t xml:space="preserve"> noviembre de 2015 respondieron a una decisión de política económica (monetaria/cambiaria) que no es judiciable, pues se basó en criterios de oportunidad, mérito y conveniencia de una autoridad del Estado (el BCRA) que otra (el Poder Judicial) no podría co</w:t>
      </w:r>
      <w:r>
        <w:rPr>
          <w:rFonts w:ascii="Times New Roman" w:eastAsia="Times New Roman" w:hAnsi="Times New Roman"/>
          <w:sz w:val="26"/>
        </w:rPr>
        <w:t>ntrolar a riesgo de afectar la división de poderes prevista en la Constitución Nacional.</w:t>
      </w:r>
    </w:p>
    <w:p w:rsidR="00000000" w:rsidRDefault="008824AB">
      <w:pPr>
        <w:spacing w:line="12" w:lineRule="exact"/>
        <w:rPr>
          <w:rFonts w:ascii="Times New Roman" w:eastAsia="Times New Roman" w:hAnsi="Times New Roman"/>
        </w:rPr>
      </w:pPr>
    </w:p>
    <w:p w:rsidR="00000000" w:rsidRDefault="008824AB">
      <w:pPr>
        <w:spacing w:line="359" w:lineRule="auto"/>
        <w:ind w:right="120" w:firstLine="2837"/>
        <w:rPr>
          <w:rFonts w:ascii="Times New Roman" w:eastAsia="Times New Roman" w:hAnsi="Times New Roman"/>
          <w:sz w:val="26"/>
        </w:rPr>
      </w:pPr>
      <w:r>
        <w:rPr>
          <w:rFonts w:ascii="Times New Roman" w:eastAsia="Times New Roman" w:hAnsi="Times New Roman"/>
          <w:b/>
          <w:sz w:val="26"/>
        </w:rPr>
        <w:t xml:space="preserve">2) </w:t>
      </w:r>
      <w:r>
        <w:rPr>
          <w:rFonts w:ascii="Times New Roman" w:eastAsia="Times New Roman" w:hAnsi="Times New Roman"/>
          <w:sz w:val="26"/>
        </w:rPr>
        <w:t>Lo primero que salta a la vista frente a</w:t>
      </w:r>
      <w:r>
        <w:rPr>
          <w:rFonts w:ascii="Times New Roman" w:eastAsia="Times New Roman" w:hAnsi="Times New Roman"/>
          <w:b/>
          <w:sz w:val="26"/>
        </w:rPr>
        <w:t xml:space="preserve"> </w:t>
      </w:r>
      <w:r>
        <w:rPr>
          <w:rFonts w:ascii="Times New Roman" w:eastAsia="Times New Roman" w:hAnsi="Times New Roman"/>
          <w:sz w:val="26"/>
        </w:rPr>
        <w:t>semejante pretensión es que esa noción, propia del sistema republicano y en la que se asienta el concepto acuñado jurispr</w:t>
      </w:r>
      <w:r>
        <w:rPr>
          <w:rFonts w:ascii="Times New Roman" w:eastAsia="Times New Roman" w:hAnsi="Times New Roman"/>
          <w:sz w:val="26"/>
        </w:rPr>
        <w:t xml:space="preserve">udencial y doctrinariamente de </w:t>
      </w:r>
      <w:r>
        <w:rPr>
          <w:rFonts w:ascii="Times New Roman" w:eastAsia="Times New Roman" w:hAnsi="Times New Roman"/>
          <w:sz w:val="26"/>
        </w:rPr>
        <w:t>“cuestiones políticas no judiciables</w:t>
      </w:r>
      <w:r>
        <w:rPr>
          <w:rFonts w:ascii="Times New Roman" w:eastAsia="Times New Roman" w:hAnsi="Times New Roman"/>
          <w:sz w:val="26"/>
        </w:rPr>
        <w:t>”, ya no incluiría solo a las tradicionales autoridades Ejecutiva, Legislativa y Judicial sino que -por vía legal- sumaría una más (el BCRA) como consecuencia de la autonomía que a ese orga</w:t>
      </w:r>
      <w:r>
        <w:rPr>
          <w:rFonts w:ascii="Times New Roman" w:eastAsia="Times New Roman" w:hAnsi="Times New Roman"/>
          <w:sz w:val="26"/>
        </w:rPr>
        <w:t>nismo concede su Carta Orgánica respecto de la primera de ellas.</w:t>
      </w:r>
    </w:p>
    <w:p w:rsidR="00000000" w:rsidRDefault="008824AB">
      <w:pPr>
        <w:spacing w:line="20" w:lineRule="exact"/>
        <w:rPr>
          <w:rFonts w:ascii="Times New Roman" w:eastAsia="Times New Roman" w:hAnsi="Times New Roman"/>
        </w:rPr>
      </w:pPr>
    </w:p>
    <w:p w:rsidR="00000000" w:rsidRDefault="008824AB">
      <w:pPr>
        <w:spacing w:line="358" w:lineRule="auto"/>
        <w:ind w:firstLine="2837"/>
        <w:rPr>
          <w:rFonts w:ascii="Times New Roman" w:eastAsia="Times New Roman" w:hAnsi="Times New Roman"/>
          <w:sz w:val="26"/>
        </w:rPr>
      </w:pPr>
      <w:r>
        <w:rPr>
          <w:rFonts w:ascii="Times New Roman" w:eastAsia="Times New Roman" w:hAnsi="Times New Roman"/>
          <w:sz w:val="26"/>
        </w:rPr>
        <w:t>Más allá de los dudosos e imprecisos alcances de esa autonomía legalmente conferida -a los que habré de referirme más adelante- lo importante aquí es determinar si les asiste razón a los ape</w:t>
      </w:r>
      <w:r>
        <w:rPr>
          <w:rFonts w:ascii="Times New Roman" w:eastAsia="Times New Roman" w:hAnsi="Times New Roman"/>
          <w:sz w:val="26"/>
        </w:rPr>
        <w:t>lantes en punto a que el Juez de primera instancia construyó una imputación penal a partir de un cuestionamiento a decisiones de política económica (monetaria/cambiaria) sobre las que no tiene autoridad; o si, por el contrario, esa imputación fue legítimam</w:t>
      </w:r>
      <w:r>
        <w:rPr>
          <w:rFonts w:ascii="Times New Roman" w:eastAsia="Times New Roman" w:hAnsi="Times New Roman"/>
          <w:sz w:val="26"/>
        </w:rPr>
        <w:t>ente realizada en tanto afinca en un abuso en el ejercicio de sus facultades por parte del BCRA respecto de lo que estaba autorizado por la propia ley que rige su constitución y funcionamiento.</w:t>
      </w:r>
    </w:p>
    <w:p w:rsidR="00000000" w:rsidRDefault="008824AB">
      <w:pPr>
        <w:spacing w:line="24" w:lineRule="exact"/>
        <w:rPr>
          <w:rFonts w:ascii="Times New Roman" w:eastAsia="Times New Roman" w:hAnsi="Times New Roman"/>
        </w:rPr>
      </w:pPr>
    </w:p>
    <w:p w:rsidR="00000000" w:rsidRDefault="008824AB">
      <w:pPr>
        <w:spacing w:line="355" w:lineRule="auto"/>
        <w:ind w:right="220" w:firstLine="2837"/>
        <w:jc w:val="both"/>
        <w:rPr>
          <w:rFonts w:ascii="Times New Roman" w:eastAsia="Times New Roman" w:hAnsi="Times New Roman"/>
          <w:sz w:val="26"/>
        </w:rPr>
      </w:pPr>
      <w:r>
        <w:rPr>
          <w:rFonts w:ascii="Times New Roman" w:eastAsia="Times New Roman" w:hAnsi="Times New Roman"/>
          <w:sz w:val="26"/>
        </w:rPr>
        <w:t>En suma, lo que aquí importa es si el Poder Judicial puede re</w:t>
      </w:r>
      <w:r>
        <w:rPr>
          <w:rFonts w:ascii="Times New Roman" w:eastAsia="Times New Roman" w:hAnsi="Times New Roman"/>
          <w:sz w:val="26"/>
        </w:rPr>
        <w:t>visar o no lo que se hizo en este caso. Y mi respuesta es que sí y que el agravio expuesto por los apelantes debe ser desestimado.</w:t>
      </w:r>
    </w:p>
    <w:p w:rsidR="00000000" w:rsidRDefault="008824AB">
      <w:pPr>
        <w:spacing w:line="355" w:lineRule="auto"/>
        <w:ind w:right="220" w:firstLine="2837"/>
        <w:jc w:val="both"/>
        <w:rPr>
          <w:rFonts w:ascii="Times New Roman" w:eastAsia="Times New Roman" w:hAnsi="Times New Roman"/>
          <w:sz w:val="26"/>
        </w:rPr>
        <w:sectPr w:rsidR="00000000">
          <w:pgSz w:w="11900" w:h="16840"/>
          <w:pgMar w:top="373" w:right="900" w:bottom="1440" w:left="3200" w:header="0" w:footer="0" w:gutter="0"/>
          <w:cols w:space="0" w:equalWidth="0">
            <w:col w:w="7800"/>
          </w:cols>
          <w:docGrid w:linePitch="360"/>
        </w:sectPr>
      </w:pPr>
    </w:p>
    <w:p w:rsidR="00000000" w:rsidRDefault="008824AB">
      <w:pPr>
        <w:spacing w:line="200" w:lineRule="exact"/>
        <w:rPr>
          <w:rFonts w:ascii="Times New Roman" w:eastAsia="Times New Roman" w:hAnsi="Times New Roman"/>
        </w:rPr>
      </w:pPr>
      <w:bookmarkStart w:id="21" w:name="page22"/>
      <w:bookmarkEnd w:id="21"/>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17" w:lineRule="exact"/>
        <w:rPr>
          <w:rFonts w:ascii="Times New Roman" w:eastAsia="Times New Roman" w:hAnsi="Times New Roman"/>
        </w:rPr>
      </w:pPr>
    </w:p>
    <w:p w:rsidR="00000000" w:rsidRDefault="008824AB">
      <w:pPr>
        <w:spacing w:line="360" w:lineRule="auto"/>
        <w:ind w:firstLine="2837"/>
        <w:rPr>
          <w:rFonts w:ascii="Times New Roman" w:eastAsia="Times New Roman" w:hAnsi="Times New Roman"/>
          <w:sz w:val="26"/>
        </w:rPr>
      </w:pPr>
      <w:r>
        <w:rPr>
          <w:rFonts w:ascii="Times New Roman" w:eastAsia="Times New Roman" w:hAnsi="Times New Roman"/>
          <w:b/>
          <w:sz w:val="26"/>
        </w:rPr>
        <w:t xml:space="preserve">3) </w:t>
      </w:r>
      <w:r>
        <w:rPr>
          <w:rFonts w:ascii="Times New Roman" w:eastAsia="Times New Roman" w:hAnsi="Times New Roman"/>
          <w:sz w:val="26"/>
        </w:rPr>
        <w:t>Años atrás me tocó, como juez de la Sala I</w:t>
      </w:r>
      <w:r>
        <w:rPr>
          <w:rFonts w:ascii="Times New Roman" w:eastAsia="Times New Roman" w:hAnsi="Times New Roman"/>
          <w:b/>
          <w:sz w:val="26"/>
        </w:rPr>
        <w:t xml:space="preserve"> </w:t>
      </w:r>
      <w:r>
        <w:rPr>
          <w:rFonts w:ascii="Times New Roman" w:eastAsia="Times New Roman" w:hAnsi="Times New Roman"/>
          <w:sz w:val="26"/>
        </w:rPr>
        <w:t>de esta Cámara, analizar la validez constitucional del Memorándum de En</w:t>
      </w:r>
      <w:r>
        <w:rPr>
          <w:rFonts w:ascii="Times New Roman" w:eastAsia="Times New Roman" w:hAnsi="Times New Roman"/>
          <w:sz w:val="26"/>
        </w:rPr>
        <w:t>tendimiento entre la República Argentina y la República Islámica de Irán en el contexto de una acción de amparo interpuesta por representantes de la AMIA-DAIA en el marco de la investigación del atentado del año 1994. El primer obstáculo opuesto a esa pret</w:t>
      </w:r>
      <w:r>
        <w:rPr>
          <w:rFonts w:ascii="Times New Roman" w:eastAsia="Times New Roman" w:hAnsi="Times New Roman"/>
          <w:sz w:val="26"/>
        </w:rPr>
        <w:t xml:space="preserve">ensión por parte del Gobierno Nacional era el mismo que aquí se aduce: precisamente, que se trataba de una </w:t>
      </w:r>
      <w:r>
        <w:rPr>
          <w:rFonts w:ascii="Times New Roman" w:eastAsia="Times New Roman" w:hAnsi="Times New Roman"/>
          <w:sz w:val="26"/>
        </w:rPr>
        <w:t>“cuestión política no judiciable</w:t>
      </w:r>
      <w:r>
        <w:rPr>
          <w:rFonts w:ascii="Times New Roman" w:eastAsia="Times New Roman" w:hAnsi="Times New Roman"/>
          <w:sz w:val="26"/>
        </w:rPr>
        <w:t>” porque el acuerdo con Irán había sido celebrado en ejercicio de atribuciones privativas del Poder Ejecutivo para el</w:t>
      </w:r>
      <w:r>
        <w:rPr>
          <w:rFonts w:ascii="Times New Roman" w:eastAsia="Times New Roman" w:hAnsi="Times New Roman"/>
          <w:sz w:val="26"/>
        </w:rPr>
        <w:t xml:space="preserve"> manejo de las relaciones exteriores y la celebración de tratados con naciones extranjeras que no podían ser revisadas judicialmente. Y la respuesta que se dio, en sentencia hoy firme, fue que ello no era así porque el acuerdo había excedido los límites de</w:t>
      </w:r>
      <w:r>
        <w:rPr>
          <w:rFonts w:ascii="Times New Roman" w:eastAsia="Times New Roman" w:hAnsi="Times New Roman"/>
          <w:sz w:val="26"/>
        </w:rPr>
        <w:t xml:space="preserve"> las atribuciones constitucionalmente conferidas al Poder Ejecutivo al invadir la competencia asignada al Poder Judicial en la investigación y juzgamiento de un crimen federal, condicionando el ejercicio pleno de la jurisdicción de los jueces de la causa.</w:t>
      </w:r>
    </w:p>
    <w:p w:rsidR="00000000" w:rsidRDefault="008824AB">
      <w:pPr>
        <w:spacing w:line="200" w:lineRule="exact"/>
        <w:rPr>
          <w:rFonts w:ascii="Times New Roman" w:eastAsia="Times New Roman" w:hAnsi="Times New Roman"/>
        </w:rPr>
      </w:pPr>
    </w:p>
    <w:p w:rsidR="00000000" w:rsidRDefault="008824AB">
      <w:pPr>
        <w:spacing w:line="257" w:lineRule="exact"/>
        <w:rPr>
          <w:rFonts w:ascii="Times New Roman" w:eastAsia="Times New Roman" w:hAnsi="Times New Roman"/>
        </w:rPr>
      </w:pPr>
    </w:p>
    <w:p w:rsidR="00000000" w:rsidRDefault="008824AB">
      <w:pPr>
        <w:spacing w:line="358" w:lineRule="auto"/>
        <w:ind w:right="160" w:firstLine="2837"/>
        <w:rPr>
          <w:rFonts w:ascii="Times New Roman" w:eastAsia="Times New Roman" w:hAnsi="Times New Roman"/>
          <w:sz w:val="26"/>
        </w:rPr>
      </w:pPr>
      <w:r>
        <w:rPr>
          <w:rFonts w:ascii="Times New Roman" w:eastAsia="Times New Roman" w:hAnsi="Times New Roman"/>
          <w:sz w:val="26"/>
        </w:rPr>
        <w:t>En este caso el planteo de las Defensas parte de la misma premisa, a través de la cual se pretende ocultar el verdadero significado de la acusación: ni más ni menos que un abuso de poder. Y es que esa acusación no versa sobre criterios, ideas o política</w:t>
      </w:r>
      <w:r>
        <w:rPr>
          <w:rFonts w:ascii="Times New Roman" w:eastAsia="Times New Roman" w:hAnsi="Times New Roman"/>
          <w:sz w:val="26"/>
        </w:rPr>
        <w:t xml:space="preserve">s de naturaleza económica, monetaria o cambiaria sino sobre el exceso o extralimitación en el ejercicio de un cargo público como consecuencia de haberse vendido dólares a futuro (atribución expresamente conferida al BCRA por la ley) a un precio que no era </w:t>
      </w:r>
      <w:r>
        <w:rPr>
          <w:rFonts w:ascii="Times New Roman" w:eastAsia="Times New Roman" w:hAnsi="Times New Roman"/>
          <w:sz w:val="26"/>
        </w:rPr>
        <w:t>el de mercado, como</w:t>
      </w:r>
    </w:p>
    <w:p w:rsidR="00000000" w:rsidRDefault="008824AB">
      <w:pPr>
        <w:spacing w:line="358" w:lineRule="auto"/>
        <w:ind w:right="160" w:firstLine="2837"/>
        <w:rPr>
          <w:rFonts w:ascii="Times New Roman" w:eastAsia="Times New Roman" w:hAnsi="Times New Roman"/>
          <w:sz w:val="26"/>
        </w:rPr>
        <w:sectPr w:rsidR="00000000">
          <w:pgSz w:w="11900" w:h="16840"/>
          <w:pgMar w:top="1440" w:right="2960" w:bottom="1440" w:left="1140" w:header="0" w:footer="0" w:gutter="0"/>
          <w:cols w:space="0" w:equalWidth="0">
            <w:col w:w="7800"/>
          </w:cols>
          <w:docGrid w:linePitch="360"/>
        </w:sectPr>
      </w:pPr>
    </w:p>
    <w:p w:rsidR="00000000" w:rsidRDefault="008824AB">
      <w:pPr>
        <w:spacing w:line="0" w:lineRule="atLeast"/>
        <w:ind w:left="440"/>
        <w:rPr>
          <w:sz w:val="24"/>
        </w:rPr>
      </w:pPr>
      <w:bookmarkStart w:id="22" w:name="page23"/>
      <w:bookmarkEnd w:id="22"/>
      <w:r>
        <w:rPr>
          <w:sz w:val="24"/>
        </w:rPr>
        <w:lastRenderedPageBreak/>
        <w:t>Año del Bicentenario de la Declaración de la Independencia Nacional</w:t>
      </w:r>
    </w:p>
    <w:p w:rsidR="00000000" w:rsidRDefault="002D0F24">
      <w:pPr>
        <w:spacing w:line="200" w:lineRule="exact"/>
        <w:rPr>
          <w:rFonts w:ascii="Times New Roman" w:eastAsia="Times New Roman" w:hAnsi="Times New Roman"/>
        </w:rPr>
      </w:pPr>
      <w:r>
        <w:rPr>
          <w:noProof/>
          <w:sz w:val="24"/>
        </w:rPr>
        <w:drawing>
          <wp:anchor distT="0" distB="0" distL="114300" distR="114300" simplePos="0" relativeHeight="251661312" behindDoc="1" locked="0" layoutInCell="0" allowOverlap="1">
            <wp:simplePos x="0" y="0"/>
            <wp:positionH relativeFrom="column">
              <wp:posOffset>2213610</wp:posOffset>
            </wp:positionH>
            <wp:positionV relativeFrom="paragraph">
              <wp:posOffset>50800</wp:posOffset>
            </wp:positionV>
            <wp:extent cx="374650" cy="575945"/>
            <wp:effectExtent l="19050" t="0" r="635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cstate="print"/>
                    <a:srcRect/>
                    <a:stretch>
                      <a:fillRect/>
                    </a:stretch>
                  </pic:blipFill>
                  <pic:spPr bwMode="auto">
                    <a:xfrm>
                      <a:off x="0" y="0"/>
                      <a:ext cx="374650" cy="575945"/>
                    </a:xfrm>
                    <a:prstGeom prst="rect">
                      <a:avLst/>
                    </a:prstGeom>
                    <a:noFill/>
                  </pic:spPr>
                </pic:pic>
              </a:graphicData>
            </a:graphic>
          </wp:anchor>
        </w:drawing>
      </w: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45" w:lineRule="exact"/>
        <w:rPr>
          <w:rFonts w:ascii="Times New Roman" w:eastAsia="Times New Roman" w:hAnsi="Times New Roman"/>
        </w:rPr>
      </w:pPr>
    </w:p>
    <w:p w:rsidR="00000000" w:rsidRDefault="008824AB">
      <w:pPr>
        <w:spacing w:line="0" w:lineRule="atLeast"/>
        <w:ind w:left="2240"/>
        <w:rPr>
          <w:rFonts w:ascii="Times New Roman" w:eastAsia="Times New Roman" w:hAnsi="Times New Roman"/>
          <w:sz w:val="28"/>
        </w:rPr>
      </w:pPr>
      <w:r>
        <w:rPr>
          <w:rFonts w:ascii="Times New Roman" w:eastAsia="Times New Roman" w:hAnsi="Times New Roman"/>
          <w:sz w:val="28"/>
        </w:rPr>
        <w:t>Poder Judicial de la Nación</w:t>
      </w:r>
    </w:p>
    <w:p w:rsidR="00000000" w:rsidRDefault="008824AB">
      <w:pPr>
        <w:spacing w:line="129" w:lineRule="exact"/>
        <w:rPr>
          <w:rFonts w:ascii="Times New Roman" w:eastAsia="Times New Roman" w:hAnsi="Times New Roman"/>
        </w:rPr>
      </w:pPr>
    </w:p>
    <w:p w:rsidR="00000000" w:rsidRDefault="008824AB">
      <w:pPr>
        <w:spacing w:line="239" w:lineRule="auto"/>
        <w:ind w:left="2680"/>
        <w:rPr>
          <w:rFonts w:ascii="Times New Roman" w:eastAsia="Times New Roman" w:hAnsi="Times New Roman"/>
          <w:sz w:val="18"/>
        </w:rPr>
      </w:pPr>
      <w:r>
        <w:rPr>
          <w:rFonts w:ascii="Times New Roman" w:eastAsia="Times New Roman" w:hAnsi="Times New Roman"/>
          <w:sz w:val="18"/>
        </w:rPr>
        <w:t>CAMARA CRIMINAL Y CORRECCIONAL FEDERAL - SALA 2</w:t>
      </w:r>
    </w:p>
    <w:p w:rsidR="00000000" w:rsidRDefault="008824AB">
      <w:pPr>
        <w:spacing w:line="239" w:lineRule="auto"/>
        <w:ind w:left="5740"/>
        <w:rPr>
          <w:rFonts w:ascii="Times New Roman" w:eastAsia="Times New Roman" w:hAnsi="Times New Roman"/>
          <w:sz w:val="18"/>
        </w:rPr>
      </w:pPr>
      <w:r>
        <w:rPr>
          <w:rFonts w:ascii="Times New Roman" w:eastAsia="Times New Roman" w:hAnsi="Times New Roman"/>
          <w:sz w:val="18"/>
        </w:rPr>
        <w:t>CFP 12152/2015/27/CA5</w:t>
      </w:r>
    </w:p>
    <w:p w:rsidR="00000000" w:rsidRDefault="008824AB">
      <w:pPr>
        <w:spacing w:line="293" w:lineRule="exact"/>
        <w:rPr>
          <w:rFonts w:ascii="Times New Roman" w:eastAsia="Times New Roman" w:hAnsi="Times New Roman"/>
        </w:rPr>
      </w:pPr>
    </w:p>
    <w:p w:rsidR="00000000" w:rsidRDefault="008824AB">
      <w:pPr>
        <w:spacing w:line="348" w:lineRule="auto"/>
        <w:ind w:right="80"/>
        <w:rPr>
          <w:rFonts w:ascii="Times New Roman" w:eastAsia="Times New Roman" w:hAnsi="Times New Roman"/>
          <w:sz w:val="26"/>
        </w:rPr>
      </w:pPr>
      <w:r>
        <w:rPr>
          <w:rFonts w:ascii="Times New Roman" w:eastAsia="Times New Roman" w:hAnsi="Times New Roman"/>
          <w:sz w:val="26"/>
        </w:rPr>
        <w:t>mandaba -también expresamente- la misma ley, produciéndose co</w:t>
      </w:r>
      <w:r>
        <w:rPr>
          <w:rFonts w:ascii="Times New Roman" w:eastAsia="Times New Roman" w:hAnsi="Times New Roman"/>
          <w:sz w:val="26"/>
        </w:rPr>
        <w:t>mo consecuencia de ello un cuantioso perjuicio al patrimonio público.</w:t>
      </w:r>
    </w:p>
    <w:p w:rsidR="00000000" w:rsidRDefault="008824AB">
      <w:pPr>
        <w:spacing w:line="28" w:lineRule="exact"/>
        <w:rPr>
          <w:rFonts w:ascii="Times New Roman" w:eastAsia="Times New Roman" w:hAnsi="Times New Roman"/>
        </w:rPr>
      </w:pPr>
    </w:p>
    <w:p w:rsidR="00000000" w:rsidRDefault="008824AB">
      <w:pPr>
        <w:spacing w:line="358" w:lineRule="auto"/>
        <w:ind w:right="120" w:firstLine="2837"/>
        <w:rPr>
          <w:rFonts w:ascii="Times New Roman" w:eastAsia="Times New Roman" w:hAnsi="Times New Roman"/>
          <w:sz w:val="26"/>
        </w:rPr>
      </w:pPr>
      <w:r>
        <w:rPr>
          <w:rFonts w:ascii="Times New Roman" w:eastAsia="Times New Roman" w:hAnsi="Times New Roman"/>
          <w:sz w:val="26"/>
        </w:rPr>
        <w:t>Dicho de otro modo: no se juzga aquí, a la luz de las previsiones del delito de administración fraudulenta del art. 173, inc. 7º, del Código Penal, otra cosa que la denunciada violació</w:t>
      </w:r>
      <w:r>
        <w:rPr>
          <w:rFonts w:ascii="Times New Roman" w:eastAsia="Times New Roman" w:hAnsi="Times New Roman"/>
          <w:sz w:val="26"/>
        </w:rPr>
        <w:t xml:space="preserve">n a la letra de la ley que es Carta Orgánica del BCRA, que prescribe que el organismo puede operar o intervenir en el mercado de futuros </w:t>
      </w:r>
      <w:r>
        <w:rPr>
          <w:rFonts w:ascii="Times New Roman" w:eastAsia="Times New Roman" w:hAnsi="Times New Roman"/>
          <w:sz w:val="26"/>
        </w:rPr>
        <w:t>“a precios de mercado</w:t>
      </w:r>
      <w:r>
        <w:rPr>
          <w:rFonts w:ascii="Times New Roman" w:eastAsia="Times New Roman" w:hAnsi="Times New Roman"/>
          <w:sz w:val="26"/>
        </w:rPr>
        <w:t>”.</w:t>
      </w:r>
    </w:p>
    <w:p w:rsidR="00000000" w:rsidRDefault="008824AB">
      <w:pPr>
        <w:spacing w:line="15" w:lineRule="exact"/>
        <w:rPr>
          <w:rFonts w:ascii="Times New Roman" w:eastAsia="Times New Roman" w:hAnsi="Times New Roman"/>
        </w:rPr>
      </w:pPr>
    </w:p>
    <w:p w:rsidR="00000000" w:rsidRDefault="008824AB">
      <w:pPr>
        <w:spacing w:line="357" w:lineRule="auto"/>
        <w:ind w:firstLine="2837"/>
        <w:rPr>
          <w:rFonts w:ascii="Times New Roman" w:eastAsia="Times New Roman" w:hAnsi="Times New Roman"/>
          <w:sz w:val="26"/>
        </w:rPr>
      </w:pPr>
      <w:r>
        <w:rPr>
          <w:rFonts w:ascii="Times New Roman" w:eastAsia="Times New Roman" w:hAnsi="Times New Roman"/>
          <w:sz w:val="26"/>
        </w:rPr>
        <w:t>El criterio de mérito fue prefijado de antemano por el legislador, del mismo modo que en otras</w:t>
      </w:r>
      <w:r>
        <w:rPr>
          <w:rFonts w:ascii="Times New Roman" w:eastAsia="Times New Roman" w:hAnsi="Times New Roman"/>
          <w:sz w:val="26"/>
        </w:rPr>
        <w:t xml:space="preserve"> ramas del derecho público dicho legislador también establece límites de carácter patrimonial o pecuniario para evitar excesos a la discreción del poder administrador en sus contrataciones u obras públicas.</w:t>
      </w:r>
    </w:p>
    <w:p w:rsidR="00000000" w:rsidRDefault="008824AB">
      <w:pPr>
        <w:spacing w:line="20" w:lineRule="exact"/>
        <w:rPr>
          <w:rFonts w:ascii="Times New Roman" w:eastAsia="Times New Roman" w:hAnsi="Times New Roman"/>
        </w:rPr>
      </w:pPr>
    </w:p>
    <w:p w:rsidR="00000000" w:rsidRDefault="008824AB">
      <w:pPr>
        <w:spacing w:line="358" w:lineRule="auto"/>
        <w:ind w:right="160" w:firstLine="2837"/>
        <w:rPr>
          <w:rFonts w:ascii="Times New Roman" w:eastAsia="Times New Roman" w:hAnsi="Times New Roman"/>
          <w:sz w:val="26"/>
        </w:rPr>
      </w:pPr>
      <w:r>
        <w:rPr>
          <w:rFonts w:ascii="Times New Roman" w:eastAsia="Times New Roman" w:hAnsi="Times New Roman"/>
          <w:sz w:val="26"/>
        </w:rPr>
        <w:t>Puesto que es la misma ley la que condiciona las</w:t>
      </w:r>
      <w:r>
        <w:rPr>
          <w:rFonts w:ascii="Times New Roman" w:eastAsia="Times New Roman" w:hAnsi="Times New Roman"/>
          <w:sz w:val="26"/>
        </w:rPr>
        <w:t xml:space="preserve"> potestades de regulación monetaria y cambiaria asignadas al BCRA, imponiéndole límites a su capacidad de intervención en el mercado de futuros al disponer que esa atribución debe ser ejercida </w:t>
      </w:r>
      <w:r>
        <w:rPr>
          <w:rFonts w:ascii="Times New Roman" w:eastAsia="Times New Roman" w:hAnsi="Times New Roman"/>
          <w:sz w:val="26"/>
        </w:rPr>
        <w:t>“a precios de mercado</w:t>
      </w:r>
      <w:r>
        <w:rPr>
          <w:rFonts w:ascii="Times New Roman" w:eastAsia="Times New Roman" w:hAnsi="Times New Roman"/>
          <w:sz w:val="26"/>
        </w:rPr>
        <w:t>”, de lo que se trata aquí no es, entonces</w:t>
      </w:r>
      <w:r>
        <w:rPr>
          <w:rFonts w:ascii="Times New Roman" w:eastAsia="Times New Roman" w:hAnsi="Times New Roman"/>
          <w:sz w:val="26"/>
        </w:rPr>
        <w:t>, de juzgar criterios de oportunidad, mérito o conveniencia privativos de otro poder del Estado sino de constatar o descartar que la autoridad haya sido ejercida en los límites impuestos por la ley que fijó precisamente, en forma previa, cuales eran esos c</w:t>
      </w:r>
      <w:r>
        <w:rPr>
          <w:rFonts w:ascii="Times New Roman" w:eastAsia="Times New Roman" w:hAnsi="Times New Roman"/>
          <w:sz w:val="26"/>
        </w:rPr>
        <w:t>riterios.</w:t>
      </w:r>
    </w:p>
    <w:p w:rsidR="00000000" w:rsidRDefault="008824AB">
      <w:pPr>
        <w:spacing w:line="9" w:lineRule="exact"/>
        <w:rPr>
          <w:rFonts w:ascii="Times New Roman" w:eastAsia="Times New Roman" w:hAnsi="Times New Roman"/>
        </w:rPr>
      </w:pPr>
    </w:p>
    <w:p w:rsidR="00000000" w:rsidRDefault="008824AB">
      <w:pPr>
        <w:spacing w:line="239" w:lineRule="auto"/>
        <w:ind w:left="2820"/>
        <w:rPr>
          <w:rFonts w:ascii="Times New Roman" w:eastAsia="Times New Roman" w:hAnsi="Times New Roman"/>
          <w:sz w:val="26"/>
        </w:rPr>
      </w:pPr>
      <w:r>
        <w:rPr>
          <w:rFonts w:ascii="Times New Roman" w:eastAsia="Times New Roman" w:hAnsi="Times New Roman"/>
          <w:sz w:val="26"/>
        </w:rPr>
        <w:t>En ese mismo sentido es que se ha dicho que</w:t>
      </w:r>
    </w:p>
    <w:p w:rsidR="00000000" w:rsidRDefault="008824AB">
      <w:pPr>
        <w:spacing w:line="167" w:lineRule="exact"/>
        <w:rPr>
          <w:rFonts w:ascii="Times New Roman" w:eastAsia="Times New Roman" w:hAnsi="Times New Roman"/>
        </w:rPr>
      </w:pPr>
    </w:p>
    <w:p w:rsidR="00000000" w:rsidRDefault="008824AB">
      <w:pPr>
        <w:spacing w:line="356" w:lineRule="auto"/>
        <w:ind w:right="220"/>
        <w:jc w:val="both"/>
        <w:rPr>
          <w:rFonts w:ascii="Times New Roman" w:eastAsia="Times New Roman" w:hAnsi="Times New Roman"/>
          <w:i/>
          <w:sz w:val="26"/>
        </w:rPr>
      </w:pPr>
      <w:r>
        <w:rPr>
          <w:rFonts w:ascii="Times New Roman" w:eastAsia="Times New Roman" w:hAnsi="Times New Roman"/>
          <w:i/>
          <w:sz w:val="26"/>
        </w:rPr>
        <w:t>“Todo acto político producido por los órganos del Estado está fundado en normas de competencia que distribuyen el poder y lo organizan. Por virtud de dichas normas … los actos políticos están limitado</w:t>
      </w:r>
      <w:r>
        <w:rPr>
          <w:rFonts w:ascii="Times New Roman" w:eastAsia="Times New Roman" w:hAnsi="Times New Roman"/>
          <w:i/>
          <w:sz w:val="26"/>
        </w:rPr>
        <w:t>s a no ser otra cosa que lo previsto en las normas (las normas de competencia</w:t>
      </w:r>
    </w:p>
    <w:p w:rsidR="00000000" w:rsidRDefault="008824AB">
      <w:pPr>
        <w:spacing w:line="356" w:lineRule="auto"/>
        <w:ind w:right="220"/>
        <w:jc w:val="both"/>
        <w:rPr>
          <w:rFonts w:ascii="Times New Roman" w:eastAsia="Times New Roman" w:hAnsi="Times New Roman"/>
          <w:i/>
          <w:sz w:val="26"/>
        </w:rPr>
        <w:sectPr w:rsidR="00000000">
          <w:pgSz w:w="11900" w:h="16840"/>
          <w:pgMar w:top="373" w:right="900" w:bottom="1440" w:left="3200" w:header="0" w:footer="0" w:gutter="0"/>
          <w:cols w:space="0" w:equalWidth="0">
            <w:col w:w="7800"/>
          </w:cols>
          <w:docGrid w:linePitch="360"/>
        </w:sectPr>
      </w:pPr>
    </w:p>
    <w:p w:rsidR="00000000" w:rsidRDefault="008824AB">
      <w:pPr>
        <w:spacing w:line="200" w:lineRule="exact"/>
        <w:rPr>
          <w:rFonts w:ascii="Times New Roman" w:eastAsia="Times New Roman" w:hAnsi="Times New Roman"/>
        </w:rPr>
      </w:pPr>
      <w:bookmarkStart w:id="23" w:name="page24"/>
      <w:bookmarkEnd w:id="23"/>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31" w:lineRule="exact"/>
        <w:rPr>
          <w:rFonts w:ascii="Times New Roman" w:eastAsia="Times New Roman" w:hAnsi="Times New Roman"/>
        </w:rPr>
      </w:pPr>
    </w:p>
    <w:p w:rsidR="00000000" w:rsidRDefault="008824AB">
      <w:pPr>
        <w:spacing w:line="359" w:lineRule="auto"/>
        <w:rPr>
          <w:rFonts w:ascii="Times New Roman" w:eastAsia="Times New Roman" w:hAnsi="Times New Roman"/>
          <w:i/>
          <w:sz w:val="26"/>
        </w:rPr>
      </w:pPr>
      <w:r>
        <w:rPr>
          <w:rFonts w:ascii="Times New Roman" w:eastAsia="Times New Roman" w:hAnsi="Times New Roman"/>
          <w:i/>
          <w:sz w:val="26"/>
        </w:rPr>
        <w:t>suelen establecer también el procedimiento a seguir para realizar los actos). Si el órgano deforma la competencia que lo hace órgano, ya no es libre para comportarse como</w:t>
      </w:r>
      <w:r>
        <w:rPr>
          <w:rFonts w:ascii="Times New Roman" w:eastAsia="Times New Roman" w:hAnsi="Times New Roman"/>
          <w:i/>
          <w:sz w:val="26"/>
        </w:rPr>
        <w:t xml:space="preserve"> tal; él tiene poder en razón de su competencia (otorgada por la norma), que regula (establece) el ámbito dentro del cual es </w:t>
      </w:r>
      <w:r>
        <w:rPr>
          <w:rFonts w:ascii="Times New Roman" w:eastAsia="Times New Roman" w:hAnsi="Times New Roman"/>
          <w:i/>
          <w:sz w:val="26"/>
        </w:rPr>
        <w:t>“libre</w:t>
      </w:r>
      <w:r>
        <w:rPr>
          <w:rFonts w:ascii="Times New Roman" w:eastAsia="Times New Roman" w:hAnsi="Times New Roman"/>
          <w:i/>
          <w:sz w:val="26"/>
        </w:rPr>
        <w:t>”. Por lo tanto, el exceso (salirse de) en el ejercicio de la competencia por parte de los órganos políticos, engendra una cu</w:t>
      </w:r>
      <w:r>
        <w:rPr>
          <w:rFonts w:ascii="Times New Roman" w:eastAsia="Times New Roman" w:hAnsi="Times New Roman"/>
          <w:i/>
          <w:sz w:val="26"/>
        </w:rPr>
        <w:t xml:space="preserve">estión justiciable, esto es, puede ser juzgada a la luz de las normas de la Constitución … Precisamente, el artículo 116 CN al referirse a </w:t>
      </w:r>
      <w:r>
        <w:rPr>
          <w:rFonts w:ascii="Times New Roman" w:eastAsia="Times New Roman" w:hAnsi="Times New Roman"/>
          <w:i/>
          <w:sz w:val="26"/>
        </w:rPr>
        <w:t>“todas las causas</w:t>
      </w:r>
      <w:r>
        <w:rPr>
          <w:rFonts w:ascii="Times New Roman" w:eastAsia="Times New Roman" w:hAnsi="Times New Roman"/>
          <w:i/>
          <w:sz w:val="26"/>
        </w:rPr>
        <w:t xml:space="preserve">”, significa que es el Poder Judicial el encargado de dirimir las llamadas </w:t>
      </w:r>
      <w:r>
        <w:rPr>
          <w:rFonts w:ascii="Times New Roman" w:eastAsia="Times New Roman" w:hAnsi="Times New Roman"/>
          <w:i/>
          <w:sz w:val="26"/>
        </w:rPr>
        <w:t>“causas políticas</w:t>
      </w:r>
      <w:r>
        <w:rPr>
          <w:rFonts w:ascii="Times New Roman" w:eastAsia="Times New Roman" w:hAnsi="Times New Roman"/>
          <w:i/>
          <w:sz w:val="26"/>
        </w:rPr>
        <w:t>” y no o</w:t>
      </w:r>
      <w:r>
        <w:rPr>
          <w:rFonts w:ascii="Times New Roman" w:eastAsia="Times New Roman" w:hAnsi="Times New Roman"/>
          <w:i/>
          <w:sz w:val="26"/>
        </w:rPr>
        <w:t>tro, porque el texto no distingue y no atribuye a otro poder el ejercicio de ese control. Solo dentro de este contexto es correcto hablar de plena justiciabilidad (no en el sentido de que los jueces tomen decisiones políticas, sustituyendo a los órganos qu</w:t>
      </w:r>
      <w:r>
        <w:rPr>
          <w:rFonts w:ascii="Times New Roman" w:eastAsia="Times New Roman" w:hAnsi="Times New Roman"/>
          <w:i/>
          <w:sz w:val="26"/>
        </w:rPr>
        <w:t xml:space="preserve">e realizan actos de ese tipo), y sólo en tal sentido es correcto sostener que la inadmisibilidad de la justiciabilidad de los excesos en el ejercicio de la competencia por parte de los órganos públicos equivale a negar el Estado de Derecho y establecer el </w:t>
      </w:r>
      <w:r>
        <w:rPr>
          <w:rFonts w:ascii="Times New Roman" w:eastAsia="Times New Roman" w:hAnsi="Times New Roman"/>
          <w:i/>
          <w:sz w:val="26"/>
        </w:rPr>
        <w:t>gobierno basado en la sola voluntad de los hombres</w:t>
      </w:r>
      <w:r>
        <w:rPr>
          <w:rFonts w:ascii="Times New Roman" w:eastAsia="Times New Roman" w:hAnsi="Times New Roman"/>
          <w:i/>
          <w:sz w:val="26"/>
        </w:rPr>
        <w:t>”</w:t>
      </w:r>
    </w:p>
    <w:p w:rsidR="00000000" w:rsidRDefault="008824AB">
      <w:pPr>
        <w:spacing w:line="17" w:lineRule="exact"/>
        <w:rPr>
          <w:rFonts w:ascii="Times New Roman" w:eastAsia="Times New Roman" w:hAnsi="Times New Roman"/>
        </w:rPr>
      </w:pPr>
    </w:p>
    <w:p w:rsidR="00000000" w:rsidRDefault="008824AB">
      <w:pPr>
        <w:spacing w:line="350" w:lineRule="auto"/>
        <w:ind w:right="40"/>
        <w:rPr>
          <w:rFonts w:ascii="Times New Roman" w:eastAsia="Times New Roman" w:hAnsi="Times New Roman"/>
          <w:sz w:val="26"/>
        </w:rPr>
      </w:pPr>
      <w:r>
        <w:rPr>
          <w:rFonts w:ascii="Times New Roman" w:eastAsia="Times New Roman" w:hAnsi="Times New Roman"/>
          <w:sz w:val="26"/>
        </w:rPr>
        <w:t xml:space="preserve">(conf. Humberto Quiroga Lavié, Derecho Constitucional Argentino, Ed. Rubinzal </w:t>
      </w:r>
      <w:r>
        <w:rPr>
          <w:rFonts w:ascii="Times New Roman" w:eastAsia="Times New Roman" w:hAnsi="Times New Roman"/>
          <w:sz w:val="26"/>
        </w:rPr>
        <w:t>– Culzoni, tomo I, página 568).</w:t>
      </w:r>
    </w:p>
    <w:p w:rsidR="00000000" w:rsidRDefault="008824AB">
      <w:pPr>
        <w:spacing w:line="26" w:lineRule="exact"/>
        <w:rPr>
          <w:rFonts w:ascii="Times New Roman" w:eastAsia="Times New Roman" w:hAnsi="Times New Roman"/>
        </w:rPr>
      </w:pPr>
    </w:p>
    <w:p w:rsidR="00000000" w:rsidRDefault="008824AB">
      <w:pPr>
        <w:spacing w:line="350" w:lineRule="auto"/>
        <w:ind w:right="40" w:firstLine="2837"/>
        <w:rPr>
          <w:rFonts w:ascii="Times New Roman" w:eastAsia="Times New Roman" w:hAnsi="Times New Roman"/>
          <w:sz w:val="26"/>
        </w:rPr>
      </w:pPr>
      <w:r>
        <w:rPr>
          <w:rFonts w:ascii="Times New Roman" w:eastAsia="Times New Roman" w:hAnsi="Times New Roman"/>
          <w:sz w:val="26"/>
        </w:rPr>
        <w:t>Como anticipé, entonces, el primero de los agravios debe ser desestimado.</w:t>
      </w:r>
    </w:p>
    <w:p w:rsidR="00000000" w:rsidRDefault="008824AB">
      <w:pPr>
        <w:spacing w:line="18" w:lineRule="exact"/>
        <w:rPr>
          <w:rFonts w:ascii="Times New Roman" w:eastAsia="Times New Roman" w:hAnsi="Times New Roman"/>
        </w:rPr>
      </w:pPr>
    </w:p>
    <w:p w:rsidR="00000000" w:rsidRDefault="008824AB">
      <w:pPr>
        <w:spacing w:line="239" w:lineRule="auto"/>
        <w:ind w:left="2820"/>
        <w:rPr>
          <w:rFonts w:ascii="Times New Roman" w:eastAsia="Times New Roman" w:hAnsi="Times New Roman"/>
          <w:b/>
          <w:sz w:val="26"/>
        </w:rPr>
      </w:pPr>
      <w:r>
        <w:rPr>
          <w:rFonts w:ascii="Times New Roman" w:eastAsia="Times New Roman" w:hAnsi="Times New Roman"/>
          <w:b/>
          <w:sz w:val="26"/>
        </w:rPr>
        <w:t xml:space="preserve">V.b- </w:t>
      </w:r>
      <w:r>
        <w:rPr>
          <w:rFonts w:ascii="Times New Roman" w:eastAsia="Times New Roman" w:hAnsi="Times New Roman"/>
          <w:b/>
          <w:sz w:val="26"/>
          <w:u w:val="single"/>
        </w:rPr>
        <w:t>Segundo</w:t>
      </w:r>
      <w:r>
        <w:rPr>
          <w:rFonts w:ascii="Times New Roman" w:eastAsia="Times New Roman" w:hAnsi="Times New Roman"/>
          <w:b/>
          <w:sz w:val="26"/>
        </w:rPr>
        <w:t>:</w:t>
      </w:r>
    </w:p>
    <w:p w:rsidR="00000000" w:rsidRDefault="008824AB">
      <w:pPr>
        <w:spacing w:line="146" w:lineRule="exact"/>
        <w:rPr>
          <w:rFonts w:ascii="Times New Roman" w:eastAsia="Times New Roman" w:hAnsi="Times New Roman"/>
        </w:rPr>
      </w:pPr>
    </w:p>
    <w:p w:rsidR="00000000" w:rsidRDefault="008824AB">
      <w:pPr>
        <w:spacing w:line="359" w:lineRule="auto"/>
        <w:ind w:right="100" w:firstLine="2837"/>
        <w:jc w:val="both"/>
        <w:rPr>
          <w:rFonts w:ascii="Times New Roman" w:eastAsia="Times New Roman" w:hAnsi="Times New Roman"/>
          <w:sz w:val="26"/>
        </w:rPr>
      </w:pPr>
      <w:r>
        <w:rPr>
          <w:rFonts w:ascii="Times New Roman" w:eastAsia="Times New Roman" w:hAnsi="Times New Roman"/>
          <w:b/>
          <w:sz w:val="26"/>
        </w:rPr>
        <w:t>1</w:t>
      </w:r>
      <w:r>
        <w:rPr>
          <w:rFonts w:ascii="Times New Roman" w:eastAsia="Times New Roman" w:hAnsi="Times New Roman"/>
          <w:b/>
          <w:sz w:val="26"/>
        </w:rPr>
        <w:t xml:space="preserve">) </w:t>
      </w:r>
      <w:r>
        <w:rPr>
          <w:rFonts w:ascii="Times New Roman" w:eastAsia="Times New Roman" w:hAnsi="Times New Roman"/>
          <w:sz w:val="26"/>
        </w:rPr>
        <w:t>El segundo de los agravios que las</w:t>
      </w:r>
      <w:r>
        <w:rPr>
          <w:rFonts w:ascii="Times New Roman" w:eastAsia="Times New Roman" w:hAnsi="Times New Roman"/>
          <w:b/>
          <w:sz w:val="26"/>
        </w:rPr>
        <w:t xml:space="preserve"> </w:t>
      </w:r>
      <w:r>
        <w:rPr>
          <w:rFonts w:ascii="Times New Roman" w:eastAsia="Times New Roman" w:hAnsi="Times New Roman"/>
          <w:sz w:val="26"/>
        </w:rPr>
        <w:t>Defensas, en su mayoría, han expresado respecto de la resolución apelada, tiene que ver precisamente con el meollo de la cuestión que</w:t>
      </w:r>
    </w:p>
    <w:p w:rsidR="00000000" w:rsidRDefault="008824AB">
      <w:pPr>
        <w:spacing w:line="359" w:lineRule="auto"/>
        <w:ind w:right="100" w:firstLine="2837"/>
        <w:jc w:val="both"/>
        <w:rPr>
          <w:rFonts w:ascii="Times New Roman" w:eastAsia="Times New Roman" w:hAnsi="Times New Roman"/>
          <w:sz w:val="26"/>
        </w:rPr>
        <w:sectPr w:rsidR="00000000">
          <w:pgSz w:w="11900" w:h="16840"/>
          <w:pgMar w:top="1440" w:right="3080" w:bottom="1440" w:left="1140" w:header="0" w:footer="0" w:gutter="0"/>
          <w:cols w:space="0" w:equalWidth="0">
            <w:col w:w="7680"/>
          </w:cols>
          <w:docGrid w:linePitch="360"/>
        </w:sectPr>
      </w:pPr>
    </w:p>
    <w:p w:rsidR="00000000" w:rsidRDefault="008824AB">
      <w:pPr>
        <w:spacing w:line="0" w:lineRule="atLeast"/>
        <w:ind w:left="440"/>
        <w:rPr>
          <w:sz w:val="24"/>
        </w:rPr>
      </w:pPr>
      <w:bookmarkStart w:id="24" w:name="page25"/>
      <w:bookmarkEnd w:id="24"/>
      <w:r>
        <w:rPr>
          <w:sz w:val="24"/>
        </w:rPr>
        <w:lastRenderedPageBreak/>
        <w:t>Año del Bicentenario de la Declaración de la Independencia Nacional</w:t>
      </w:r>
    </w:p>
    <w:p w:rsidR="00000000" w:rsidRDefault="002D0F24">
      <w:pPr>
        <w:spacing w:line="200" w:lineRule="exact"/>
        <w:rPr>
          <w:rFonts w:ascii="Times New Roman" w:eastAsia="Times New Roman" w:hAnsi="Times New Roman"/>
        </w:rPr>
      </w:pPr>
      <w:r>
        <w:rPr>
          <w:noProof/>
          <w:sz w:val="24"/>
        </w:rPr>
        <w:drawing>
          <wp:anchor distT="0" distB="0" distL="114300" distR="114300" simplePos="0" relativeHeight="251664384" behindDoc="1" locked="0" layoutInCell="0" allowOverlap="1">
            <wp:simplePos x="0" y="0"/>
            <wp:positionH relativeFrom="column">
              <wp:posOffset>2213610</wp:posOffset>
            </wp:positionH>
            <wp:positionV relativeFrom="paragraph">
              <wp:posOffset>50800</wp:posOffset>
            </wp:positionV>
            <wp:extent cx="374650" cy="575945"/>
            <wp:effectExtent l="19050" t="0" r="635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cstate="print"/>
                    <a:srcRect/>
                    <a:stretch>
                      <a:fillRect/>
                    </a:stretch>
                  </pic:blipFill>
                  <pic:spPr bwMode="auto">
                    <a:xfrm>
                      <a:off x="0" y="0"/>
                      <a:ext cx="374650" cy="575945"/>
                    </a:xfrm>
                    <a:prstGeom prst="rect">
                      <a:avLst/>
                    </a:prstGeom>
                    <a:noFill/>
                  </pic:spPr>
                </pic:pic>
              </a:graphicData>
            </a:graphic>
          </wp:anchor>
        </w:drawing>
      </w: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45" w:lineRule="exact"/>
        <w:rPr>
          <w:rFonts w:ascii="Times New Roman" w:eastAsia="Times New Roman" w:hAnsi="Times New Roman"/>
        </w:rPr>
      </w:pPr>
    </w:p>
    <w:p w:rsidR="00000000" w:rsidRDefault="008824AB">
      <w:pPr>
        <w:spacing w:line="0" w:lineRule="atLeast"/>
        <w:ind w:left="2240"/>
        <w:rPr>
          <w:rFonts w:ascii="Times New Roman" w:eastAsia="Times New Roman" w:hAnsi="Times New Roman"/>
          <w:sz w:val="28"/>
        </w:rPr>
      </w:pPr>
      <w:r>
        <w:rPr>
          <w:rFonts w:ascii="Times New Roman" w:eastAsia="Times New Roman" w:hAnsi="Times New Roman"/>
          <w:sz w:val="28"/>
        </w:rPr>
        <w:t>Poder Judi</w:t>
      </w:r>
      <w:r>
        <w:rPr>
          <w:rFonts w:ascii="Times New Roman" w:eastAsia="Times New Roman" w:hAnsi="Times New Roman"/>
          <w:sz w:val="28"/>
        </w:rPr>
        <w:t>cial de la Nación</w:t>
      </w:r>
    </w:p>
    <w:p w:rsidR="00000000" w:rsidRDefault="008824AB">
      <w:pPr>
        <w:spacing w:line="129" w:lineRule="exact"/>
        <w:rPr>
          <w:rFonts w:ascii="Times New Roman" w:eastAsia="Times New Roman" w:hAnsi="Times New Roman"/>
        </w:rPr>
      </w:pPr>
    </w:p>
    <w:p w:rsidR="00000000" w:rsidRDefault="008824AB">
      <w:pPr>
        <w:spacing w:line="239" w:lineRule="auto"/>
        <w:ind w:left="2680"/>
        <w:rPr>
          <w:rFonts w:ascii="Times New Roman" w:eastAsia="Times New Roman" w:hAnsi="Times New Roman"/>
          <w:sz w:val="18"/>
        </w:rPr>
      </w:pPr>
      <w:r>
        <w:rPr>
          <w:rFonts w:ascii="Times New Roman" w:eastAsia="Times New Roman" w:hAnsi="Times New Roman"/>
          <w:sz w:val="18"/>
        </w:rPr>
        <w:t>CAMARA CRIMINAL Y CORRECCIONAL FEDERAL - SALA 2</w:t>
      </w:r>
    </w:p>
    <w:p w:rsidR="00000000" w:rsidRDefault="008824AB">
      <w:pPr>
        <w:spacing w:line="239" w:lineRule="auto"/>
        <w:ind w:left="5740"/>
        <w:rPr>
          <w:rFonts w:ascii="Times New Roman" w:eastAsia="Times New Roman" w:hAnsi="Times New Roman"/>
          <w:sz w:val="18"/>
        </w:rPr>
      </w:pPr>
      <w:r>
        <w:rPr>
          <w:rFonts w:ascii="Times New Roman" w:eastAsia="Times New Roman" w:hAnsi="Times New Roman"/>
          <w:sz w:val="18"/>
        </w:rPr>
        <w:t>CFP 12152/2015/27/CA5</w:t>
      </w:r>
    </w:p>
    <w:p w:rsidR="00000000" w:rsidRDefault="008824AB">
      <w:pPr>
        <w:spacing w:line="293" w:lineRule="exact"/>
        <w:rPr>
          <w:rFonts w:ascii="Times New Roman" w:eastAsia="Times New Roman" w:hAnsi="Times New Roman"/>
        </w:rPr>
      </w:pPr>
    </w:p>
    <w:p w:rsidR="00000000" w:rsidRDefault="008824AB">
      <w:pPr>
        <w:spacing w:line="348" w:lineRule="auto"/>
        <w:ind w:right="320"/>
        <w:rPr>
          <w:rFonts w:ascii="Times New Roman" w:eastAsia="Times New Roman" w:hAnsi="Times New Roman"/>
          <w:sz w:val="26"/>
        </w:rPr>
      </w:pPr>
      <w:r>
        <w:rPr>
          <w:rFonts w:ascii="Times New Roman" w:eastAsia="Times New Roman" w:hAnsi="Times New Roman"/>
          <w:sz w:val="26"/>
        </w:rPr>
        <w:t xml:space="preserve">arriba se señaló, esto es, con el </w:t>
      </w:r>
      <w:r>
        <w:rPr>
          <w:rFonts w:ascii="Times New Roman" w:eastAsia="Times New Roman" w:hAnsi="Times New Roman"/>
          <w:sz w:val="26"/>
        </w:rPr>
        <w:t>“precio</w:t>
      </w:r>
      <w:r>
        <w:rPr>
          <w:rFonts w:ascii="Times New Roman" w:eastAsia="Times New Roman" w:hAnsi="Times New Roman"/>
          <w:sz w:val="26"/>
        </w:rPr>
        <w:t>” de venta de los dólares por parte del BCRA.</w:t>
      </w:r>
    </w:p>
    <w:p w:rsidR="00000000" w:rsidRDefault="008824AB">
      <w:pPr>
        <w:spacing w:line="28" w:lineRule="exact"/>
        <w:rPr>
          <w:rFonts w:ascii="Times New Roman" w:eastAsia="Times New Roman" w:hAnsi="Times New Roman"/>
        </w:rPr>
      </w:pPr>
    </w:p>
    <w:p w:rsidR="00000000" w:rsidRDefault="008824AB">
      <w:pPr>
        <w:spacing w:line="359" w:lineRule="auto"/>
        <w:ind w:right="20" w:firstLine="2837"/>
        <w:rPr>
          <w:rFonts w:ascii="Times New Roman" w:eastAsia="Times New Roman" w:hAnsi="Times New Roman"/>
          <w:sz w:val="26"/>
        </w:rPr>
      </w:pPr>
      <w:r>
        <w:rPr>
          <w:rFonts w:ascii="Times New Roman" w:eastAsia="Times New Roman" w:hAnsi="Times New Roman"/>
          <w:sz w:val="26"/>
        </w:rPr>
        <w:t xml:space="preserve">Se aduce que ese precio respondía a la </w:t>
      </w:r>
      <w:r>
        <w:rPr>
          <w:rFonts w:ascii="Times New Roman" w:eastAsia="Times New Roman" w:hAnsi="Times New Roman"/>
          <w:sz w:val="26"/>
        </w:rPr>
        <w:t>“cotización oficial</w:t>
      </w:r>
      <w:r>
        <w:rPr>
          <w:rFonts w:ascii="Times New Roman" w:eastAsia="Times New Roman" w:hAnsi="Times New Roman"/>
          <w:sz w:val="26"/>
        </w:rPr>
        <w:t>” para un sinnúmero</w:t>
      </w:r>
      <w:r>
        <w:rPr>
          <w:rFonts w:ascii="Times New Roman" w:eastAsia="Times New Roman" w:hAnsi="Times New Roman"/>
          <w:sz w:val="26"/>
        </w:rPr>
        <w:t xml:space="preserve"> de otras operaciones; que dicha cotización se ajustaba a la estimación del valor del dólar efectuada en la Ley de Presupuesto aprobada por el Congreso Nacional y a las demás políticas económicas del gobierno nacional de entonces; que no es dable tomar en </w:t>
      </w:r>
      <w:r>
        <w:rPr>
          <w:rFonts w:ascii="Times New Roman" w:eastAsia="Times New Roman" w:hAnsi="Times New Roman"/>
          <w:sz w:val="26"/>
        </w:rPr>
        <w:t xml:space="preserve">cuenta a los fines comparativos el precio del </w:t>
      </w:r>
      <w:r>
        <w:rPr>
          <w:rFonts w:ascii="Times New Roman" w:eastAsia="Times New Roman" w:hAnsi="Times New Roman"/>
          <w:sz w:val="26"/>
        </w:rPr>
        <w:t>“dólar paralelo</w:t>
      </w:r>
      <w:r>
        <w:rPr>
          <w:rFonts w:ascii="Times New Roman" w:eastAsia="Times New Roman" w:hAnsi="Times New Roman"/>
          <w:sz w:val="26"/>
        </w:rPr>
        <w:t xml:space="preserve">” en tanto es </w:t>
      </w:r>
      <w:r>
        <w:rPr>
          <w:rFonts w:ascii="Times New Roman" w:eastAsia="Times New Roman" w:hAnsi="Times New Roman"/>
          <w:sz w:val="26"/>
        </w:rPr>
        <w:t>“ilegal</w:t>
      </w:r>
      <w:r>
        <w:rPr>
          <w:rFonts w:ascii="Times New Roman" w:eastAsia="Times New Roman" w:hAnsi="Times New Roman"/>
          <w:sz w:val="26"/>
        </w:rPr>
        <w:t xml:space="preserve">” y representativo de una porción minúscula de operaciones, como así tampoco el valor del llamado </w:t>
      </w:r>
      <w:r>
        <w:rPr>
          <w:rFonts w:ascii="Times New Roman" w:eastAsia="Times New Roman" w:hAnsi="Times New Roman"/>
          <w:sz w:val="26"/>
        </w:rPr>
        <w:t>“contado con liquidación</w:t>
      </w:r>
      <w:r>
        <w:rPr>
          <w:rFonts w:ascii="Times New Roman" w:eastAsia="Times New Roman" w:hAnsi="Times New Roman"/>
          <w:sz w:val="26"/>
        </w:rPr>
        <w:t xml:space="preserve">” o el del </w:t>
      </w:r>
      <w:r>
        <w:rPr>
          <w:rFonts w:ascii="Times New Roman" w:eastAsia="Times New Roman" w:hAnsi="Times New Roman"/>
          <w:sz w:val="26"/>
        </w:rPr>
        <w:t>“dólar bolsa</w:t>
      </w:r>
      <w:r>
        <w:rPr>
          <w:rFonts w:ascii="Times New Roman" w:eastAsia="Times New Roman" w:hAnsi="Times New Roman"/>
          <w:sz w:val="26"/>
        </w:rPr>
        <w:t>” por su especificidad y esca</w:t>
      </w:r>
      <w:r>
        <w:rPr>
          <w:rFonts w:ascii="Times New Roman" w:eastAsia="Times New Roman" w:hAnsi="Times New Roman"/>
          <w:sz w:val="26"/>
        </w:rPr>
        <w:t>sa representatividad del volumen operado; y que, en realidad, y en última instancia, el fraude al patrimonio público no lo cometieron las autoridades del gobierno saliente el 10 de diciembre de 2015 sino las nuevas que asumieron en esa fecha a raíz de la d</w:t>
      </w:r>
      <w:r>
        <w:rPr>
          <w:rFonts w:ascii="Times New Roman" w:eastAsia="Times New Roman" w:hAnsi="Times New Roman"/>
          <w:sz w:val="26"/>
        </w:rPr>
        <w:t xml:space="preserve">ecisión política de levantar el </w:t>
      </w:r>
      <w:r>
        <w:rPr>
          <w:rFonts w:ascii="Times New Roman" w:eastAsia="Times New Roman" w:hAnsi="Times New Roman"/>
          <w:sz w:val="26"/>
        </w:rPr>
        <w:t>“cepo cambiario</w:t>
      </w:r>
      <w:r>
        <w:rPr>
          <w:rFonts w:ascii="Times New Roman" w:eastAsia="Times New Roman" w:hAnsi="Times New Roman"/>
          <w:sz w:val="26"/>
        </w:rPr>
        <w:t xml:space="preserve">” y </w:t>
      </w:r>
      <w:r>
        <w:rPr>
          <w:rFonts w:ascii="Times New Roman" w:eastAsia="Times New Roman" w:hAnsi="Times New Roman"/>
          <w:sz w:val="26"/>
        </w:rPr>
        <w:t>“devaluar</w:t>
      </w:r>
      <w:r>
        <w:rPr>
          <w:rFonts w:ascii="Times New Roman" w:eastAsia="Times New Roman" w:hAnsi="Times New Roman"/>
          <w:sz w:val="26"/>
        </w:rPr>
        <w:t>” el peso argentino frente al dólar, produciéndose por esa razón, y no por la operatoria originalmente instrumentada, el perjuicio sufrido por el BCRA.</w:t>
      </w:r>
    </w:p>
    <w:p w:rsidR="00000000" w:rsidRDefault="008824AB">
      <w:pPr>
        <w:spacing w:line="21" w:lineRule="exact"/>
        <w:rPr>
          <w:rFonts w:ascii="Times New Roman" w:eastAsia="Times New Roman" w:hAnsi="Times New Roman"/>
        </w:rPr>
      </w:pPr>
    </w:p>
    <w:p w:rsidR="00000000" w:rsidRDefault="008824AB">
      <w:pPr>
        <w:spacing w:line="357" w:lineRule="auto"/>
        <w:ind w:firstLine="2837"/>
        <w:rPr>
          <w:rFonts w:ascii="Times New Roman" w:eastAsia="Times New Roman" w:hAnsi="Times New Roman"/>
          <w:sz w:val="26"/>
        </w:rPr>
      </w:pPr>
      <w:r>
        <w:rPr>
          <w:rFonts w:ascii="Times New Roman" w:eastAsia="Times New Roman" w:hAnsi="Times New Roman"/>
          <w:sz w:val="26"/>
        </w:rPr>
        <w:t>No es menor destacar que, si hay algo en lo</w:t>
      </w:r>
      <w:r>
        <w:rPr>
          <w:rFonts w:ascii="Times New Roman" w:eastAsia="Times New Roman" w:hAnsi="Times New Roman"/>
          <w:sz w:val="26"/>
        </w:rPr>
        <w:t xml:space="preserve"> que están de acuerdo ambas posiciones (la de los denunciantes, que recogió el Juez de primera instancia en la decisión recurrida, y la de los imputados que aquí apelan) es que aquí hubo un fraude descomunal al patrimonio público y la disidencia afinca en </w:t>
      </w:r>
      <w:r>
        <w:rPr>
          <w:rFonts w:ascii="Times New Roman" w:eastAsia="Times New Roman" w:hAnsi="Times New Roman"/>
          <w:sz w:val="26"/>
        </w:rPr>
        <w:t>quién tiene la culpa, que se atribuyen recíprocamente unos a otros.</w:t>
      </w:r>
    </w:p>
    <w:p w:rsidR="00000000" w:rsidRDefault="008824AB">
      <w:pPr>
        <w:spacing w:line="10" w:lineRule="exact"/>
        <w:rPr>
          <w:rFonts w:ascii="Times New Roman" w:eastAsia="Times New Roman" w:hAnsi="Times New Roman"/>
        </w:rPr>
      </w:pPr>
    </w:p>
    <w:p w:rsidR="00000000" w:rsidRDefault="008824AB">
      <w:pPr>
        <w:spacing w:line="239" w:lineRule="auto"/>
        <w:ind w:left="2820"/>
        <w:rPr>
          <w:rFonts w:ascii="Times New Roman" w:eastAsia="Times New Roman" w:hAnsi="Times New Roman"/>
          <w:sz w:val="26"/>
        </w:rPr>
      </w:pPr>
      <w:r>
        <w:rPr>
          <w:rFonts w:ascii="Times New Roman" w:eastAsia="Times New Roman" w:hAnsi="Times New Roman"/>
          <w:sz w:val="26"/>
        </w:rPr>
        <w:t>Corresponde,  entonces,  dilucidar  el  asunto</w:t>
      </w:r>
    </w:p>
    <w:p w:rsidR="00000000" w:rsidRDefault="008824AB">
      <w:pPr>
        <w:spacing w:line="151" w:lineRule="exact"/>
        <w:rPr>
          <w:rFonts w:ascii="Times New Roman" w:eastAsia="Times New Roman" w:hAnsi="Times New Roman"/>
        </w:rPr>
      </w:pPr>
    </w:p>
    <w:p w:rsidR="00000000" w:rsidRDefault="008824AB">
      <w:pPr>
        <w:spacing w:line="0" w:lineRule="atLeast"/>
        <w:rPr>
          <w:rFonts w:ascii="Times New Roman" w:eastAsia="Times New Roman" w:hAnsi="Times New Roman"/>
          <w:sz w:val="26"/>
        </w:rPr>
      </w:pPr>
      <w:r>
        <w:rPr>
          <w:rFonts w:ascii="Times New Roman" w:eastAsia="Times New Roman" w:hAnsi="Times New Roman"/>
          <w:sz w:val="26"/>
        </w:rPr>
        <w:t>puesto a discusión.</w:t>
      </w:r>
    </w:p>
    <w:p w:rsidR="00000000" w:rsidRDefault="008824AB">
      <w:pPr>
        <w:spacing w:line="0" w:lineRule="atLeast"/>
        <w:rPr>
          <w:rFonts w:ascii="Times New Roman" w:eastAsia="Times New Roman" w:hAnsi="Times New Roman"/>
          <w:sz w:val="26"/>
        </w:rPr>
        <w:sectPr w:rsidR="00000000">
          <w:pgSz w:w="11900" w:h="16840"/>
          <w:pgMar w:top="373" w:right="1000" w:bottom="1440" w:left="3200" w:header="0" w:footer="0" w:gutter="0"/>
          <w:cols w:space="0" w:equalWidth="0">
            <w:col w:w="7700"/>
          </w:cols>
          <w:docGrid w:linePitch="360"/>
        </w:sectPr>
      </w:pPr>
    </w:p>
    <w:p w:rsidR="00000000" w:rsidRDefault="008824AB">
      <w:pPr>
        <w:spacing w:line="200" w:lineRule="exact"/>
        <w:rPr>
          <w:rFonts w:ascii="Times New Roman" w:eastAsia="Times New Roman" w:hAnsi="Times New Roman"/>
        </w:rPr>
      </w:pPr>
      <w:bookmarkStart w:id="25" w:name="page26"/>
      <w:bookmarkEnd w:id="25"/>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17" w:lineRule="exact"/>
        <w:rPr>
          <w:rFonts w:ascii="Times New Roman" w:eastAsia="Times New Roman" w:hAnsi="Times New Roman"/>
        </w:rPr>
      </w:pPr>
    </w:p>
    <w:p w:rsidR="00000000" w:rsidRDefault="008824AB">
      <w:pPr>
        <w:spacing w:line="359" w:lineRule="auto"/>
        <w:ind w:right="100" w:firstLine="2837"/>
        <w:rPr>
          <w:rFonts w:ascii="Times New Roman" w:eastAsia="Times New Roman" w:hAnsi="Times New Roman"/>
          <w:sz w:val="26"/>
        </w:rPr>
      </w:pPr>
      <w:r>
        <w:rPr>
          <w:rFonts w:ascii="Times New Roman" w:eastAsia="Times New Roman" w:hAnsi="Times New Roman"/>
          <w:b/>
          <w:sz w:val="26"/>
        </w:rPr>
        <w:t xml:space="preserve">2) </w:t>
      </w:r>
      <w:r>
        <w:rPr>
          <w:rFonts w:ascii="Times New Roman" w:eastAsia="Times New Roman" w:hAnsi="Times New Roman"/>
          <w:sz w:val="26"/>
        </w:rPr>
        <w:t>Previo a ello, es preciso formular una</w:t>
      </w:r>
      <w:r>
        <w:rPr>
          <w:rFonts w:ascii="Times New Roman" w:eastAsia="Times New Roman" w:hAnsi="Times New Roman"/>
          <w:b/>
          <w:sz w:val="26"/>
        </w:rPr>
        <w:t xml:space="preserve"> </w:t>
      </w:r>
      <w:r>
        <w:rPr>
          <w:rFonts w:ascii="Times New Roman" w:eastAsia="Times New Roman" w:hAnsi="Times New Roman"/>
          <w:sz w:val="26"/>
        </w:rPr>
        <w:t xml:space="preserve">aclaración. La alusión de las defensas a la denuncia de la actividad </w:t>
      </w:r>
      <w:r>
        <w:rPr>
          <w:rFonts w:ascii="Times New Roman" w:eastAsia="Times New Roman" w:hAnsi="Times New Roman"/>
          <w:sz w:val="26"/>
        </w:rPr>
        <w:t>de los compradores que acudieron al sistema no posee, a los efectos de esta decisión, la entidad que aquellas alegan; por ende, no corresponde darle aquí abordaje, en virtud de dos sencillas razones.</w:t>
      </w:r>
    </w:p>
    <w:p w:rsidR="00000000" w:rsidRDefault="008824AB">
      <w:pPr>
        <w:spacing w:line="16" w:lineRule="exact"/>
        <w:rPr>
          <w:rFonts w:ascii="Times New Roman" w:eastAsia="Times New Roman" w:hAnsi="Times New Roman"/>
        </w:rPr>
      </w:pPr>
    </w:p>
    <w:p w:rsidR="00000000" w:rsidRDefault="008824AB">
      <w:pPr>
        <w:spacing w:line="358" w:lineRule="auto"/>
        <w:ind w:firstLine="2837"/>
        <w:rPr>
          <w:rFonts w:ascii="Times New Roman" w:eastAsia="Times New Roman" w:hAnsi="Times New Roman"/>
          <w:sz w:val="26"/>
        </w:rPr>
      </w:pPr>
      <w:r>
        <w:rPr>
          <w:rFonts w:ascii="Times New Roman" w:eastAsia="Times New Roman" w:hAnsi="Times New Roman"/>
          <w:sz w:val="26"/>
        </w:rPr>
        <w:t>Una, que esas cuestiones son objeto de otro expediente</w:t>
      </w:r>
      <w:r>
        <w:rPr>
          <w:rFonts w:ascii="Times New Roman" w:eastAsia="Times New Roman" w:hAnsi="Times New Roman"/>
          <w:sz w:val="26"/>
        </w:rPr>
        <w:t xml:space="preserve"> sustanciado ante otro juzgado del fuero. La segunda, que - por cuanto se expone en la presente- las disquisiciones que, en uno u otro sentido, puedan llegar a hacerse sobre dicho asunto, no modifican en nada las conclusiones que, sobre el carácter delicti</w:t>
      </w:r>
      <w:r>
        <w:rPr>
          <w:rFonts w:ascii="Times New Roman" w:eastAsia="Times New Roman" w:hAnsi="Times New Roman"/>
          <w:sz w:val="26"/>
        </w:rPr>
        <w:t>vo de la maniobra puesta en marcha por los procesados y la atribución de responsabilidad sobre ellos, habrán de formularse aquí.</w:t>
      </w:r>
    </w:p>
    <w:p w:rsidR="00000000" w:rsidRDefault="008824AB">
      <w:pPr>
        <w:spacing w:line="7" w:lineRule="exact"/>
        <w:rPr>
          <w:rFonts w:ascii="Times New Roman" w:eastAsia="Times New Roman" w:hAnsi="Times New Roman"/>
        </w:rPr>
      </w:pPr>
    </w:p>
    <w:p w:rsidR="00000000" w:rsidRDefault="008824AB">
      <w:pPr>
        <w:spacing w:line="359" w:lineRule="auto"/>
        <w:ind w:firstLine="2837"/>
        <w:rPr>
          <w:rFonts w:ascii="Times New Roman" w:eastAsia="Times New Roman" w:hAnsi="Times New Roman"/>
          <w:sz w:val="26"/>
        </w:rPr>
      </w:pPr>
      <w:r>
        <w:rPr>
          <w:rFonts w:ascii="Times New Roman" w:eastAsia="Times New Roman" w:hAnsi="Times New Roman"/>
          <w:b/>
          <w:sz w:val="26"/>
        </w:rPr>
        <w:t xml:space="preserve">3) </w:t>
      </w:r>
      <w:r>
        <w:rPr>
          <w:rFonts w:ascii="Times New Roman" w:eastAsia="Times New Roman" w:hAnsi="Times New Roman"/>
          <w:sz w:val="26"/>
        </w:rPr>
        <w:t>Hecha esa aclaración, parto de la base de</w:t>
      </w:r>
      <w:r>
        <w:rPr>
          <w:rFonts w:ascii="Times New Roman" w:eastAsia="Times New Roman" w:hAnsi="Times New Roman"/>
          <w:b/>
          <w:sz w:val="26"/>
        </w:rPr>
        <w:t xml:space="preserve"> </w:t>
      </w:r>
      <w:r>
        <w:rPr>
          <w:rFonts w:ascii="Times New Roman" w:eastAsia="Times New Roman" w:hAnsi="Times New Roman"/>
          <w:sz w:val="26"/>
        </w:rPr>
        <w:t>que el quid de la cuestión, relativa al precio de venta de los dólares a futuro p</w:t>
      </w:r>
      <w:r>
        <w:rPr>
          <w:rFonts w:ascii="Times New Roman" w:eastAsia="Times New Roman" w:hAnsi="Times New Roman"/>
          <w:sz w:val="26"/>
        </w:rPr>
        <w:t xml:space="preserve">or parte del BCRA, gira en torno a lo dispuesto por el art. 18 de la Ley 24.144: </w:t>
      </w:r>
      <w:r>
        <w:rPr>
          <w:rFonts w:ascii="Times New Roman" w:eastAsia="Times New Roman" w:hAnsi="Times New Roman"/>
          <w:i/>
          <w:sz w:val="26"/>
        </w:rPr>
        <w:t>“El Banco Central de la República Argentina podrá: a)</w:t>
      </w:r>
      <w:r>
        <w:rPr>
          <w:rFonts w:ascii="Times New Roman" w:eastAsia="Times New Roman" w:hAnsi="Times New Roman"/>
          <w:sz w:val="26"/>
        </w:rPr>
        <w:t xml:space="preserve"> </w:t>
      </w:r>
      <w:r>
        <w:rPr>
          <w:rFonts w:ascii="Times New Roman" w:eastAsia="Times New Roman" w:hAnsi="Times New Roman"/>
          <w:i/>
          <w:sz w:val="26"/>
        </w:rPr>
        <w:t>comprar y vender a precios de mercado, en operaciones de contado y a término, títulos públicos, divisas y otros activos f</w:t>
      </w:r>
      <w:r>
        <w:rPr>
          <w:rFonts w:ascii="Times New Roman" w:eastAsia="Times New Roman" w:hAnsi="Times New Roman"/>
          <w:i/>
          <w:sz w:val="26"/>
        </w:rPr>
        <w:t>inancieros con fines de regulación monetaria, cambiaria, financiera y crediticia …</w:t>
      </w:r>
      <w:r>
        <w:rPr>
          <w:rFonts w:ascii="Times New Roman" w:eastAsia="Times New Roman" w:hAnsi="Times New Roman"/>
          <w:i/>
          <w:sz w:val="26"/>
        </w:rPr>
        <w:t xml:space="preserve">” </w:t>
      </w:r>
      <w:r>
        <w:rPr>
          <w:rFonts w:ascii="Times New Roman" w:eastAsia="Times New Roman" w:hAnsi="Times New Roman"/>
          <w:sz w:val="26"/>
        </w:rPr>
        <w:t>(Inciso</w:t>
      </w:r>
      <w:r>
        <w:rPr>
          <w:rFonts w:ascii="Times New Roman" w:eastAsia="Times New Roman" w:hAnsi="Times New Roman"/>
          <w:i/>
          <w:sz w:val="26"/>
        </w:rPr>
        <w:t xml:space="preserve"> </w:t>
      </w:r>
      <w:r>
        <w:rPr>
          <w:rFonts w:ascii="Times New Roman" w:eastAsia="Times New Roman" w:hAnsi="Times New Roman"/>
          <w:sz w:val="26"/>
        </w:rPr>
        <w:t>sustituido por art. 10° de la Ley N° 26.739 B.O. 28/03/2012).</w:t>
      </w:r>
    </w:p>
    <w:p w:rsidR="00000000" w:rsidRDefault="008824AB">
      <w:pPr>
        <w:spacing w:line="20" w:lineRule="exact"/>
        <w:rPr>
          <w:rFonts w:ascii="Times New Roman" w:eastAsia="Times New Roman" w:hAnsi="Times New Roman"/>
        </w:rPr>
      </w:pPr>
    </w:p>
    <w:p w:rsidR="00000000" w:rsidRDefault="008824AB">
      <w:pPr>
        <w:spacing w:line="356" w:lineRule="auto"/>
        <w:ind w:right="100" w:firstLine="2837"/>
        <w:jc w:val="both"/>
        <w:rPr>
          <w:rFonts w:ascii="Times New Roman" w:eastAsia="Times New Roman" w:hAnsi="Times New Roman"/>
          <w:sz w:val="26"/>
        </w:rPr>
      </w:pPr>
      <w:r>
        <w:rPr>
          <w:rFonts w:ascii="Times New Roman" w:eastAsia="Times New Roman" w:hAnsi="Times New Roman"/>
          <w:sz w:val="26"/>
        </w:rPr>
        <w:t>Como puede verse claramente, la norma en cuestión faculta al BCRA a intervenir en el mercado con fine</w:t>
      </w:r>
      <w:r>
        <w:rPr>
          <w:rFonts w:ascii="Times New Roman" w:eastAsia="Times New Roman" w:hAnsi="Times New Roman"/>
          <w:sz w:val="26"/>
        </w:rPr>
        <w:t>s de regulación, y lo autoriza expresamente a esos fines a vender divisas (en el caso, dólares estadounidenses).</w:t>
      </w:r>
    </w:p>
    <w:p w:rsidR="00000000" w:rsidRDefault="008824AB">
      <w:pPr>
        <w:spacing w:line="19" w:lineRule="exact"/>
        <w:rPr>
          <w:rFonts w:ascii="Times New Roman" w:eastAsia="Times New Roman" w:hAnsi="Times New Roman"/>
        </w:rPr>
      </w:pPr>
    </w:p>
    <w:p w:rsidR="00000000" w:rsidRDefault="008824AB">
      <w:pPr>
        <w:spacing w:line="355" w:lineRule="auto"/>
        <w:ind w:firstLine="2837"/>
        <w:rPr>
          <w:rFonts w:ascii="Times New Roman" w:eastAsia="Times New Roman" w:hAnsi="Times New Roman"/>
          <w:sz w:val="26"/>
        </w:rPr>
      </w:pPr>
      <w:r>
        <w:rPr>
          <w:rFonts w:ascii="Times New Roman" w:eastAsia="Times New Roman" w:hAnsi="Times New Roman"/>
          <w:sz w:val="26"/>
        </w:rPr>
        <w:t>Sin embargo, la misma ley recorta esa potestad fijándole un límite muy preciso: el precio de venta ha de ser el de mercado, no otro.</w:t>
      </w:r>
    </w:p>
    <w:p w:rsidR="00000000" w:rsidRDefault="008824AB">
      <w:pPr>
        <w:spacing w:line="355" w:lineRule="auto"/>
        <w:ind w:firstLine="2837"/>
        <w:rPr>
          <w:rFonts w:ascii="Times New Roman" w:eastAsia="Times New Roman" w:hAnsi="Times New Roman"/>
          <w:sz w:val="26"/>
        </w:rPr>
        <w:sectPr w:rsidR="00000000">
          <w:pgSz w:w="11900" w:h="16840"/>
          <w:pgMar w:top="1440" w:right="3080" w:bottom="1440" w:left="1140" w:header="0" w:footer="0" w:gutter="0"/>
          <w:cols w:space="0" w:equalWidth="0">
            <w:col w:w="7680"/>
          </w:cols>
          <w:docGrid w:linePitch="360"/>
        </w:sectPr>
      </w:pPr>
    </w:p>
    <w:p w:rsidR="00000000" w:rsidRDefault="008824AB">
      <w:pPr>
        <w:spacing w:line="0" w:lineRule="atLeast"/>
        <w:ind w:left="440"/>
        <w:rPr>
          <w:sz w:val="24"/>
        </w:rPr>
      </w:pPr>
      <w:bookmarkStart w:id="26" w:name="page27"/>
      <w:bookmarkEnd w:id="26"/>
      <w:r>
        <w:rPr>
          <w:sz w:val="24"/>
        </w:rPr>
        <w:lastRenderedPageBreak/>
        <w:t xml:space="preserve">Año del </w:t>
      </w:r>
      <w:r>
        <w:rPr>
          <w:sz w:val="24"/>
        </w:rPr>
        <w:t>Bicentenario de la Declaración de la Independencia Nacional</w:t>
      </w:r>
    </w:p>
    <w:p w:rsidR="00000000" w:rsidRDefault="002D0F24">
      <w:pPr>
        <w:spacing w:line="200" w:lineRule="exact"/>
        <w:rPr>
          <w:rFonts w:ascii="Times New Roman" w:eastAsia="Times New Roman" w:hAnsi="Times New Roman"/>
        </w:rPr>
      </w:pPr>
      <w:r>
        <w:rPr>
          <w:noProof/>
          <w:sz w:val="24"/>
        </w:rPr>
        <w:drawing>
          <wp:anchor distT="0" distB="0" distL="114300" distR="114300" simplePos="0" relativeHeight="251667456" behindDoc="1" locked="0" layoutInCell="0" allowOverlap="1">
            <wp:simplePos x="0" y="0"/>
            <wp:positionH relativeFrom="column">
              <wp:posOffset>2213610</wp:posOffset>
            </wp:positionH>
            <wp:positionV relativeFrom="paragraph">
              <wp:posOffset>50800</wp:posOffset>
            </wp:positionV>
            <wp:extent cx="374650" cy="575945"/>
            <wp:effectExtent l="19050" t="0" r="635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cstate="print"/>
                    <a:srcRect/>
                    <a:stretch>
                      <a:fillRect/>
                    </a:stretch>
                  </pic:blipFill>
                  <pic:spPr bwMode="auto">
                    <a:xfrm>
                      <a:off x="0" y="0"/>
                      <a:ext cx="374650" cy="575945"/>
                    </a:xfrm>
                    <a:prstGeom prst="rect">
                      <a:avLst/>
                    </a:prstGeom>
                    <a:noFill/>
                  </pic:spPr>
                </pic:pic>
              </a:graphicData>
            </a:graphic>
          </wp:anchor>
        </w:drawing>
      </w: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45" w:lineRule="exact"/>
        <w:rPr>
          <w:rFonts w:ascii="Times New Roman" w:eastAsia="Times New Roman" w:hAnsi="Times New Roman"/>
        </w:rPr>
      </w:pPr>
    </w:p>
    <w:p w:rsidR="00000000" w:rsidRDefault="008824AB">
      <w:pPr>
        <w:spacing w:line="0" w:lineRule="atLeast"/>
        <w:ind w:left="2240"/>
        <w:rPr>
          <w:rFonts w:ascii="Times New Roman" w:eastAsia="Times New Roman" w:hAnsi="Times New Roman"/>
          <w:sz w:val="28"/>
        </w:rPr>
      </w:pPr>
      <w:r>
        <w:rPr>
          <w:rFonts w:ascii="Times New Roman" w:eastAsia="Times New Roman" w:hAnsi="Times New Roman"/>
          <w:sz w:val="28"/>
        </w:rPr>
        <w:t>Poder Judicial de la Nación</w:t>
      </w:r>
    </w:p>
    <w:p w:rsidR="00000000" w:rsidRDefault="008824AB">
      <w:pPr>
        <w:spacing w:line="129" w:lineRule="exact"/>
        <w:rPr>
          <w:rFonts w:ascii="Times New Roman" w:eastAsia="Times New Roman" w:hAnsi="Times New Roman"/>
        </w:rPr>
      </w:pPr>
    </w:p>
    <w:p w:rsidR="00000000" w:rsidRDefault="008824AB">
      <w:pPr>
        <w:spacing w:line="239" w:lineRule="auto"/>
        <w:ind w:left="2680"/>
        <w:rPr>
          <w:rFonts w:ascii="Times New Roman" w:eastAsia="Times New Roman" w:hAnsi="Times New Roman"/>
          <w:sz w:val="18"/>
        </w:rPr>
      </w:pPr>
      <w:r>
        <w:rPr>
          <w:rFonts w:ascii="Times New Roman" w:eastAsia="Times New Roman" w:hAnsi="Times New Roman"/>
          <w:sz w:val="18"/>
        </w:rPr>
        <w:t>CAMARA CRIMINAL Y CORRECCIONAL FEDERAL - SALA 2</w:t>
      </w:r>
    </w:p>
    <w:p w:rsidR="00000000" w:rsidRDefault="008824AB">
      <w:pPr>
        <w:spacing w:line="239" w:lineRule="auto"/>
        <w:ind w:left="5740"/>
        <w:rPr>
          <w:rFonts w:ascii="Times New Roman" w:eastAsia="Times New Roman" w:hAnsi="Times New Roman"/>
          <w:sz w:val="18"/>
        </w:rPr>
      </w:pPr>
      <w:r>
        <w:rPr>
          <w:rFonts w:ascii="Times New Roman" w:eastAsia="Times New Roman" w:hAnsi="Times New Roman"/>
          <w:sz w:val="18"/>
        </w:rPr>
        <w:t>CFP 12152/2015/27/CA5</w:t>
      </w:r>
    </w:p>
    <w:p w:rsidR="00000000" w:rsidRDefault="008824AB">
      <w:pPr>
        <w:spacing w:line="293" w:lineRule="exact"/>
        <w:rPr>
          <w:rFonts w:ascii="Times New Roman" w:eastAsia="Times New Roman" w:hAnsi="Times New Roman"/>
        </w:rPr>
      </w:pPr>
    </w:p>
    <w:p w:rsidR="00000000" w:rsidRDefault="008824AB">
      <w:pPr>
        <w:spacing w:line="348" w:lineRule="auto"/>
        <w:ind w:right="220" w:firstLine="2837"/>
        <w:rPr>
          <w:rFonts w:ascii="Times New Roman" w:eastAsia="Times New Roman" w:hAnsi="Times New Roman"/>
          <w:sz w:val="26"/>
        </w:rPr>
      </w:pPr>
      <w:r>
        <w:rPr>
          <w:rFonts w:ascii="Times New Roman" w:eastAsia="Times New Roman" w:hAnsi="Times New Roman"/>
          <w:sz w:val="26"/>
        </w:rPr>
        <w:t>Cualquiera sea el método de interpretación aplicable, es claro que se trata de una norma p</w:t>
      </w:r>
      <w:r>
        <w:rPr>
          <w:rFonts w:ascii="Times New Roman" w:eastAsia="Times New Roman" w:hAnsi="Times New Roman"/>
          <w:sz w:val="26"/>
        </w:rPr>
        <w:t>otestativa/restrictiva.</w:t>
      </w:r>
    </w:p>
    <w:p w:rsidR="00000000" w:rsidRDefault="008824AB">
      <w:pPr>
        <w:spacing w:line="28" w:lineRule="exact"/>
        <w:rPr>
          <w:rFonts w:ascii="Times New Roman" w:eastAsia="Times New Roman" w:hAnsi="Times New Roman"/>
        </w:rPr>
      </w:pPr>
    </w:p>
    <w:p w:rsidR="00000000" w:rsidRDefault="008824AB">
      <w:pPr>
        <w:spacing w:line="357" w:lineRule="auto"/>
        <w:ind w:right="240" w:firstLine="2837"/>
        <w:rPr>
          <w:rFonts w:ascii="Times New Roman" w:eastAsia="Times New Roman" w:hAnsi="Times New Roman"/>
          <w:sz w:val="26"/>
        </w:rPr>
      </w:pPr>
      <w:r>
        <w:rPr>
          <w:rFonts w:ascii="Times New Roman" w:eastAsia="Times New Roman" w:hAnsi="Times New Roman"/>
          <w:sz w:val="26"/>
        </w:rPr>
        <w:t xml:space="preserve">Así, desde el punto de vista literal o semántico, la norma otorga al BCRA una potestad </w:t>
      </w:r>
      <w:r>
        <w:rPr>
          <w:rFonts w:ascii="Times New Roman" w:eastAsia="Times New Roman" w:hAnsi="Times New Roman"/>
          <w:i/>
          <w:sz w:val="26"/>
        </w:rPr>
        <w:t>“podrá</w:t>
      </w:r>
      <w:r>
        <w:rPr>
          <w:rFonts w:ascii="Times New Roman" w:eastAsia="Times New Roman" w:hAnsi="Times New Roman"/>
          <w:i/>
          <w:sz w:val="26"/>
        </w:rPr>
        <w:t>”</w:t>
      </w:r>
      <w:r>
        <w:rPr>
          <w:rFonts w:ascii="Times New Roman" w:eastAsia="Times New Roman" w:hAnsi="Times New Roman"/>
          <w:sz w:val="26"/>
        </w:rPr>
        <w:t xml:space="preserve">( … vender, en operaciones … a término, divisas) pero establece un límite o condición para su ejercicio ( </w:t>
      </w:r>
      <w:r>
        <w:rPr>
          <w:rFonts w:ascii="Times New Roman" w:eastAsia="Times New Roman" w:hAnsi="Times New Roman"/>
          <w:i/>
          <w:sz w:val="26"/>
        </w:rPr>
        <w:t>“a precios de mercado</w:t>
      </w:r>
      <w:r>
        <w:rPr>
          <w:rFonts w:ascii="Times New Roman" w:eastAsia="Times New Roman" w:hAnsi="Times New Roman"/>
          <w:i/>
          <w:sz w:val="26"/>
        </w:rPr>
        <w:t>”</w:t>
      </w:r>
      <w:r>
        <w:rPr>
          <w:rFonts w:ascii="Times New Roman" w:eastAsia="Times New Roman" w:hAnsi="Times New Roman"/>
          <w:sz w:val="26"/>
        </w:rPr>
        <w:t>).</w:t>
      </w:r>
    </w:p>
    <w:p w:rsidR="00000000" w:rsidRDefault="008824AB">
      <w:pPr>
        <w:spacing w:line="16" w:lineRule="exact"/>
        <w:rPr>
          <w:rFonts w:ascii="Times New Roman" w:eastAsia="Times New Roman" w:hAnsi="Times New Roman"/>
        </w:rPr>
      </w:pPr>
    </w:p>
    <w:p w:rsidR="00000000" w:rsidRDefault="008824AB">
      <w:pPr>
        <w:spacing w:line="359" w:lineRule="auto"/>
        <w:ind w:right="60" w:firstLine="2837"/>
        <w:rPr>
          <w:rFonts w:ascii="Times New Roman" w:eastAsia="Times New Roman" w:hAnsi="Times New Roman"/>
          <w:sz w:val="26"/>
        </w:rPr>
      </w:pPr>
      <w:r>
        <w:rPr>
          <w:rFonts w:ascii="Times New Roman" w:eastAsia="Times New Roman" w:hAnsi="Times New Roman"/>
          <w:sz w:val="26"/>
        </w:rPr>
        <w:t>Aten</w:t>
      </w:r>
      <w:r>
        <w:rPr>
          <w:rFonts w:ascii="Times New Roman" w:eastAsia="Times New Roman" w:hAnsi="Times New Roman"/>
          <w:sz w:val="26"/>
        </w:rPr>
        <w:t xml:space="preserve">diendo a su finalidad o interpretación teleológica, cada uno de esos términos tiene su propio sentido o razón de ser. El de la potestad está expresamente señalado en la norma, al decir que es </w:t>
      </w:r>
      <w:r>
        <w:rPr>
          <w:rFonts w:ascii="Times New Roman" w:eastAsia="Times New Roman" w:hAnsi="Times New Roman"/>
          <w:i/>
          <w:sz w:val="26"/>
        </w:rPr>
        <w:t>“con fines de regulación monetaria, cambiara, financiera y</w:t>
      </w:r>
      <w:r>
        <w:rPr>
          <w:rFonts w:ascii="Times New Roman" w:eastAsia="Times New Roman" w:hAnsi="Times New Roman"/>
          <w:sz w:val="26"/>
        </w:rPr>
        <w:t xml:space="preserve"> </w:t>
      </w:r>
      <w:r>
        <w:rPr>
          <w:rFonts w:ascii="Times New Roman" w:eastAsia="Times New Roman" w:hAnsi="Times New Roman"/>
          <w:i/>
          <w:sz w:val="26"/>
        </w:rPr>
        <w:t>credi</w:t>
      </w:r>
      <w:r>
        <w:rPr>
          <w:rFonts w:ascii="Times New Roman" w:eastAsia="Times New Roman" w:hAnsi="Times New Roman"/>
          <w:i/>
          <w:sz w:val="26"/>
        </w:rPr>
        <w:t>ticia</w:t>
      </w:r>
      <w:r>
        <w:rPr>
          <w:rFonts w:ascii="Times New Roman" w:eastAsia="Times New Roman" w:hAnsi="Times New Roman"/>
          <w:i/>
          <w:sz w:val="26"/>
        </w:rPr>
        <w:t>”</w:t>
      </w:r>
      <w:r>
        <w:rPr>
          <w:rFonts w:ascii="Times New Roman" w:eastAsia="Times New Roman" w:hAnsi="Times New Roman"/>
          <w:sz w:val="26"/>
        </w:rPr>
        <w:t>. El del límite está implícito en el tenor mismo de la</w:t>
      </w:r>
      <w:r>
        <w:rPr>
          <w:rFonts w:ascii="Times New Roman" w:eastAsia="Times New Roman" w:hAnsi="Times New Roman"/>
          <w:i/>
          <w:sz w:val="26"/>
        </w:rPr>
        <w:t xml:space="preserve"> </w:t>
      </w:r>
      <w:r>
        <w:rPr>
          <w:rFonts w:ascii="Times New Roman" w:eastAsia="Times New Roman" w:hAnsi="Times New Roman"/>
          <w:sz w:val="26"/>
        </w:rPr>
        <w:t xml:space="preserve">condición puesta ( </w:t>
      </w:r>
      <w:r>
        <w:rPr>
          <w:rFonts w:ascii="Times New Roman" w:eastAsia="Times New Roman" w:hAnsi="Times New Roman"/>
          <w:i/>
          <w:sz w:val="26"/>
        </w:rPr>
        <w:t>“a precio de mercado</w:t>
      </w:r>
      <w:r>
        <w:rPr>
          <w:rFonts w:ascii="Times New Roman" w:eastAsia="Times New Roman" w:hAnsi="Times New Roman"/>
          <w:i/>
          <w:sz w:val="26"/>
        </w:rPr>
        <w:t>”</w:t>
      </w:r>
      <w:r>
        <w:rPr>
          <w:rFonts w:ascii="Times New Roman" w:eastAsia="Times New Roman" w:hAnsi="Times New Roman"/>
          <w:sz w:val="26"/>
        </w:rPr>
        <w:t xml:space="preserve">). El legislador ha querido evitar que, so pretexto de intentar bajar el precio de una divisa o contener su alza en el mercado para influir de ese modo en </w:t>
      </w:r>
      <w:r>
        <w:rPr>
          <w:rFonts w:ascii="Times New Roman" w:eastAsia="Times New Roman" w:hAnsi="Times New Roman"/>
          <w:sz w:val="26"/>
        </w:rPr>
        <w:t>otros órdenes de la economía, el BCRA oferte sus propias divisas a un valor que ocasione una pérdida considerable a su patrimonio. El legislador ha querido proteger el patrimonio de la entidad estableciendo un límite a la discrecionalidad de sus autoridade</w:t>
      </w:r>
      <w:r>
        <w:rPr>
          <w:rFonts w:ascii="Times New Roman" w:eastAsia="Times New Roman" w:hAnsi="Times New Roman"/>
          <w:sz w:val="26"/>
        </w:rPr>
        <w:t>s: regular el mercado sí, pero no a costa de la integridad patrimonial del organismo.</w:t>
      </w:r>
    </w:p>
    <w:p w:rsidR="00000000" w:rsidRDefault="008824AB">
      <w:pPr>
        <w:spacing w:line="16" w:lineRule="exact"/>
        <w:rPr>
          <w:rFonts w:ascii="Times New Roman" w:eastAsia="Times New Roman" w:hAnsi="Times New Roman"/>
        </w:rPr>
      </w:pPr>
    </w:p>
    <w:p w:rsidR="00000000" w:rsidRDefault="008824AB">
      <w:pPr>
        <w:spacing w:line="358" w:lineRule="auto"/>
        <w:ind w:firstLine="2837"/>
        <w:rPr>
          <w:rFonts w:ascii="Times New Roman" w:eastAsia="Times New Roman" w:hAnsi="Times New Roman"/>
          <w:sz w:val="26"/>
        </w:rPr>
      </w:pPr>
      <w:r>
        <w:rPr>
          <w:rFonts w:ascii="Times New Roman" w:eastAsia="Times New Roman" w:hAnsi="Times New Roman"/>
          <w:sz w:val="26"/>
        </w:rPr>
        <w:t xml:space="preserve">Y desde un punto de vista sistemático, está interpretación es armónica con otras disposiciones de la propia Carta Orgánica del BCRA. Así, la Ley 24.144 (texto según Ley </w:t>
      </w:r>
      <w:r>
        <w:rPr>
          <w:rFonts w:ascii="Times New Roman" w:eastAsia="Times New Roman" w:hAnsi="Times New Roman"/>
          <w:sz w:val="26"/>
        </w:rPr>
        <w:t xml:space="preserve">26.739), en algunos casos otorga facultades discrecionales sin poner límites estancos (ej. </w:t>
      </w:r>
      <w:r>
        <w:rPr>
          <w:rFonts w:ascii="Times New Roman" w:eastAsia="Times New Roman" w:hAnsi="Times New Roman"/>
          <w:sz w:val="26"/>
        </w:rPr>
        <w:t>“fijar las tasas de interés y demás condiciones generales de las operaciones crediticias del banco</w:t>
      </w:r>
      <w:r>
        <w:rPr>
          <w:rFonts w:ascii="Times New Roman" w:eastAsia="Times New Roman" w:hAnsi="Times New Roman"/>
          <w:sz w:val="26"/>
        </w:rPr>
        <w:t xml:space="preserve">” -art. 14, inc. c-, o </w:t>
      </w:r>
      <w:r>
        <w:rPr>
          <w:rFonts w:ascii="Times New Roman" w:eastAsia="Times New Roman" w:hAnsi="Times New Roman"/>
          <w:sz w:val="26"/>
        </w:rPr>
        <w:t xml:space="preserve">“establecer relaciones técnicas de liquidez </w:t>
      </w:r>
      <w:r>
        <w:rPr>
          <w:rFonts w:ascii="Times New Roman" w:eastAsia="Times New Roman" w:hAnsi="Times New Roman"/>
          <w:sz w:val="26"/>
        </w:rPr>
        <w:t>y solvencia para las entidades financieras</w:t>
      </w:r>
      <w:r>
        <w:rPr>
          <w:rFonts w:ascii="Times New Roman" w:eastAsia="Times New Roman" w:hAnsi="Times New Roman"/>
          <w:sz w:val="26"/>
        </w:rPr>
        <w:t>” -art. 14, inc. d-), pero en otros casos -como en el que está</w:t>
      </w:r>
    </w:p>
    <w:p w:rsidR="00000000" w:rsidRDefault="008824AB">
      <w:pPr>
        <w:spacing w:line="358" w:lineRule="auto"/>
        <w:ind w:firstLine="2837"/>
        <w:rPr>
          <w:rFonts w:ascii="Times New Roman" w:eastAsia="Times New Roman" w:hAnsi="Times New Roman"/>
          <w:sz w:val="26"/>
        </w:rPr>
        <w:sectPr w:rsidR="00000000">
          <w:pgSz w:w="11900" w:h="16840"/>
          <w:pgMar w:top="373" w:right="900" w:bottom="1440" w:left="3200" w:header="0" w:footer="0" w:gutter="0"/>
          <w:cols w:space="0" w:equalWidth="0">
            <w:col w:w="7800"/>
          </w:cols>
          <w:docGrid w:linePitch="360"/>
        </w:sectPr>
      </w:pPr>
    </w:p>
    <w:p w:rsidR="00000000" w:rsidRDefault="008824AB">
      <w:pPr>
        <w:spacing w:line="200" w:lineRule="exact"/>
        <w:rPr>
          <w:rFonts w:ascii="Times New Roman" w:eastAsia="Times New Roman" w:hAnsi="Times New Roman"/>
        </w:rPr>
      </w:pPr>
      <w:bookmarkStart w:id="27" w:name="page28"/>
      <w:bookmarkEnd w:id="27"/>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27" w:lineRule="exact"/>
        <w:rPr>
          <w:rFonts w:ascii="Times New Roman" w:eastAsia="Times New Roman" w:hAnsi="Times New Roman"/>
        </w:rPr>
      </w:pPr>
    </w:p>
    <w:p w:rsidR="00000000" w:rsidRDefault="008824AB">
      <w:pPr>
        <w:spacing w:line="359" w:lineRule="auto"/>
        <w:rPr>
          <w:rFonts w:ascii="Times New Roman" w:eastAsia="Times New Roman" w:hAnsi="Times New Roman"/>
          <w:sz w:val="26"/>
        </w:rPr>
      </w:pPr>
      <w:r>
        <w:rPr>
          <w:rFonts w:ascii="Times New Roman" w:eastAsia="Times New Roman" w:hAnsi="Times New Roman"/>
          <w:sz w:val="26"/>
        </w:rPr>
        <w:t>aquí en análisis- establece condiciones a las que el organismo debe atenerse, restringiendo su discrecionalidad (ej. cuando prescribe que podrá</w:t>
      </w:r>
      <w:r>
        <w:rPr>
          <w:rFonts w:ascii="Times New Roman" w:eastAsia="Times New Roman" w:hAnsi="Times New Roman"/>
          <w:sz w:val="26"/>
        </w:rPr>
        <w:t xml:space="preserve"> determinar las sumas que corresponde destinar a capital y reservas, pero que para ello debe obrar </w:t>
      </w:r>
      <w:r>
        <w:rPr>
          <w:rFonts w:ascii="Times New Roman" w:eastAsia="Times New Roman" w:hAnsi="Times New Roman"/>
          <w:sz w:val="26"/>
        </w:rPr>
        <w:t>“de acuerdo con lo dispuesto en el art. 38</w:t>
      </w:r>
      <w:r>
        <w:rPr>
          <w:rFonts w:ascii="Times New Roman" w:eastAsia="Times New Roman" w:hAnsi="Times New Roman"/>
          <w:sz w:val="26"/>
        </w:rPr>
        <w:t>” -art. 14, inc. f-; o cuando lo faculta para otorgar redescuentos a las entidades financieras por razones de iliqu</w:t>
      </w:r>
      <w:r>
        <w:rPr>
          <w:rFonts w:ascii="Times New Roman" w:eastAsia="Times New Roman" w:hAnsi="Times New Roman"/>
          <w:sz w:val="26"/>
        </w:rPr>
        <w:t xml:space="preserve">idez transitoria </w:t>
      </w:r>
      <w:r>
        <w:rPr>
          <w:rFonts w:ascii="Times New Roman" w:eastAsia="Times New Roman" w:hAnsi="Times New Roman"/>
          <w:sz w:val="26"/>
        </w:rPr>
        <w:t>“hasta un máximo por entidad equivalente al patrimonio de ésta</w:t>
      </w:r>
      <w:r>
        <w:rPr>
          <w:rFonts w:ascii="Times New Roman" w:eastAsia="Times New Roman" w:hAnsi="Times New Roman"/>
          <w:sz w:val="26"/>
        </w:rPr>
        <w:t xml:space="preserve">” -art. 17, inc. b-; o cuando lo autoriza a otorgar adelantos en cuentas a las entidades financieras por iliquidez transitoria </w:t>
      </w:r>
      <w:r>
        <w:rPr>
          <w:rFonts w:ascii="Times New Roman" w:eastAsia="Times New Roman" w:hAnsi="Times New Roman"/>
          <w:sz w:val="26"/>
        </w:rPr>
        <w:t>“siempre y cuando la suma de los redescuentos y ad</w:t>
      </w:r>
      <w:r>
        <w:rPr>
          <w:rFonts w:ascii="Times New Roman" w:eastAsia="Times New Roman" w:hAnsi="Times New Roman"/>
          <w:sz w:val="26"/>
        </w:rPr>
        <w:t>elantos concedidos a una misma entidad no supere, en ninguna circunstancia, el límite fijado en el inciso anterior</w:t>
      </w:r>
      <w:r>
        <w:rPr>
          <w:rFonts w:ascii="Times New Roman" w:eastAsia="Times New Roman" w:hAnsi="Times New Roman"/>
          <w:sz w:val="26"/>
        </w:rPr>
        <w:t xml:space="preserve">” -art. 17, inc. c-; o cuando lo faculta para hacer adelantos transitorios al Gobierno nacional </w:t>
      </w:r>
      <w:r>
        <w:rPr>
          <w:rFonts w:ascii="Times New Roman" w:eastAsia="Times New Roman" w:hAnsi="Times New Roman"/>
          <w:sz w:val="26"/>
        </w:rPr>
        <w:t>“hasta una cantidad equivalente al doce por ci</w:t>
      </w:r>
      <w:r>
        <w:rPr>
          <w:rFonts w:ascii="Times New Roman" w:eastAsia="Times New Roman" w:hAnsi="Times New Roman"/>
          <w:sz w:val="26"/>
        </w:rPr>
        <w:t>ento de la base monetaria</w:t>
      </w:r>
      <w:r>
        <w:rPr>
          <w:rFonts w:ascii="Times New Roman" w:eastAsia="Times New Roman" w:hAnsi="Times New Roman"/>
          <w:sz w:val="26"/>
        </w:rPr>
        <w:t>” -art. 20-).</w:t>
      </w:r>
    </w:p>
    <w:p w:rsidR="00000000" w:rsidRDefault="008824AB">
      <w:pPr>
        <w:spacing w:line="17" w:lineRule="exact"/>
        <w:rPr>
          <w:rFonts w:ascii="Times New Roman" w:eastAsia="Times New Roman" w:hAnsi="Times New Roman"/>
        </w:rPr>
      </w:pPr>
    </w:p>
    <w:p w:rsidR="00000000" w:rsidRDefault="008824AB">
      <w:pPr>
        <w:spacing w:line="358" w:lineRule="auto"/>
        <w:ind w:right="20" w:firstLine="2837"/>
        <w:rPr>
          <w:rFonts w:ascii="Times New Roman" w:eastAsia="Times New Roman" w:hAnsi="Times New Roman"/>
          <w:sz w:val="26"/>
        </w:rPr>
      </w:pPr>
      <w:r>
        <w:rPr>
          <w:rFonts w:ascii="Times New Roman" w:eastAsia="Times New Roman" w:hAnsi="Times New Roman"/>
          <w:sz w:val="26"/>
        </w:rPr>
        <w:t>Por fuera de la propia Carta Orgánica del BCRA, ese mismo tipo de límites aparece también impuesto en innumerables normas de derecho administrativo, como son todas aquellas que regulan el modo y las condiciones en q</w:t>
      </w:r>
      <w:r>
        <w:rPr>
          <w:rFonts w:ascii="Times New Roman" w:eastAsia="Times New Roman" w:hAnsi="Times New Roman"/>
          <w:sz w:val="26"/>
        </w:rPr>
        <w:t>ue deben practicarse y llevarse a cabo las licitaciones y obras públicas. En estos casos, como en el que es objeto de esta resolución, los funcionarios, que aprecian la oportunidad, el mérito o la conveniencia de ejecutar tal o cual obra pública, no actúan</w:t>
      </w:r>
      <w:r>
        <w:rPr>
          <w:rFonts w:ascii="Times New Roman" w:eastAsia="Times New Roman" w:hAnsi="Times New Roman"/>
          <w:sz w:val="26"/>
        </w:rPr>
        <w:t xml:space="preserve"> en base a su solo arbitrio, sino que deben respetar las condiciones y límites impuestos por las normas legales y reglamentarias que rigen la materia.</w:t>
      </w:r>
    </w:p>
    <w:p w:rsidR="00000000" w:rsidRDefault="008824AB">
      <w:pPr>
        <w:spacing w:line="14" w:lineRule="exact"/>
        <w:rPr>
          <w:rFonts w:ascii="Times New Roman" w:eastAsia="Times New Roman" w:hAnsi="Times New Roman"/>
        </w:rPr>
      </w:pPr>
    </w:p>
    <w:p w:rsidR="00000000" w:rsidRDefault="008824AB">
      <w:pPr>
        <w:spacing w:line="359" w:lineRule="auto"/>
        <w:ind w:right="20" w:firstLine="2837"/>
        <w:rPr>
          <w:rFonts w:ascii="Times New Roman" w:eastAsia="Times New Roman" w:hAnsi="Times New Roman"/>
          <w:sz w:val="26"/>
        </w:rPr>
      </w:pPr>
      <w:r>
        <w:rPr>
          <w:rFonts w:ascii="Times New Roman" w:eastAsia="Times New Roman" w:hAnsi="Times New Roman"/>
          <w:b/>
          <w:sz w:val="26"/>
        </w:rPr>
        <w:t xml:space="preserve">4) </w:t>
      </w:r>
      <w:r>
        <w:rPr>
          <w:rFonts w:ascii="Times New Roman" w:eastAsia="Times New Roman" w:hAnsi="Times New Roman"/>
          <w:sz w:val="26"/>
        </w:rPr>
        <w:t>Está bien explicado, a mi juicio, en la</w:t>
      </w:r>
      <w:r>
        <w:rPr>
          <w:rFonts w:ascii="Times New Roman" w:eastAsia="Times New Roman" w:hAnsi="Times New Roman"/>
          <w:b/>
          <w:sz w:val="26"/>
        </w:rPr>
        <w:t xml:space="preserve"> </w:t>
      </w:r>
      <w:r>
        <w:rPr>
          <w:rFonts w:ascii="Times New Roman" w:eastAsia="Times New Roman" w:hAnsi="Times New Roman"/>
          <w:sz w:val="26"/>
        </w:rPr>
        <w:t xml:space="preserve">resolución de primera instancia, como es que las autoridades </w:t>
      </w:r>
      <w:r>
        <w:rPr>
          <w:rFonts w:ascii="Times New Roman" w:eastAsia="Times New Roman" w:hAnsi="Times New Roman"/>
          <w:sz w:val="26"/>
        </w:rPr>
        <w:t>del BCRA violaron ese límite legalmente establecido.</w:t>
      </w:r>
    </w:p>
    <w:p w:rsidR="00000000" w:rsidRDefault="008824AB">
      <w:pPr>
        <w:spacing w:line="359" w:lineRule="auto"/>
        <w:ind w:right="20" w:firstLine="2837"/>
        <w:rPr>
          <w:rFonts w:ascii="Times New Roman" w:eastAsia="Times New Roman" w:hAnsi="Times New Roman"/>
          <w:sz w:val="26"/>
        </w:rPr>
        <w:sectPr w:rsidR="00000000">
          <w:pgSz w:w="11900" w:h="16840"/>
          <w:pgMar w:top="1440" w:right="3060" w:bottom="1440" w:left="1140" w:header="0" w:footer="0" w:gutter="0"/>
          <w:cols w:space="0" w:equalWidth="0">
            <w:col w:w="7700"/>
          </w:cols>
          <w:docGrid w:linePitch="360"/>
        </w:sectPr>
      </w:pPr>
    </w:p>
    <w:p w:rsidR="00000000" w:rsidRDefault="008824AB">
      <w:pPr>
        <w:spacing w:line="0" w:lineRule="atLeast"/>
        <w:ind w:left="440"/>
        <w:rPr>
          <w:sz w:val="24"/>
        </w:rPr>
      </w:pPr>
      <w:bookmarkStart w:id="28" w:name="page29"/>
      <w:bookmarkEnd w:id="28"/>
      <w:r>
        <w:rPr>
          <w:sz w:val="24"/>
        </w:rPr>
        <w:lastRenderedPageBreak/>
        <w:t>Año del Bicentenario de la Declaración de la Independencia Nacional</w:t>
      </w:r>
    </w:p>
    <w:p w:rsidR="00000000" w:rsidRDefault="002D0F24">
      <w:pPr>
        <w:spacing w:line="200" w:lineRule="exact"/>
        <w:rPr>
          <w:rFonts w:ascii="Times New Roman" w:eastAsia="Times New Roman" w:hAnsi="Times New Roman"/>
        </w:rPr>
      </w:pPr>
      <w:r>
        <w:rPr>
          <w:noProof/>
          <w:sz w:val="24"/>
        </w:rPr>
        <w:drawing>
          <wp:anchor distT="0" distB="0" distL="114300" distR="114300" simplePos="0" relativeHeight="251670528" behindDoc="1" locked="0" layoutInCell="0" allowOverlap="1">
            <wp:simplePos x="0" y="0"/>
            <wp:positionH relativeFrom="column">
              <wp:posOffset>2213610</wp:posOffset>
            </wp:positionH>
            <wp:positionV relativeFrom="paragraph">
              <wp:posOffset>50800</wp:posOffset>
            </wp:positionV>
            <wp:extent cx="374650" cy="575945"/>
            <wp:effectExtent l="19050" t="0" r="6350"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cstate="print"/>
                    <a:srcRect/>
                    <a:stretch>
                      <a:fillRect/>
                    </a:stretch>
                  </pic:blipFill>
                  <pic:spPr bwMode="auto">
                    <a:xfrm>
                      <a:off x="0" y="0"/>
                      <a:ext cx="374650" cy="575945"/>
                    </a:xfrm>
                    <a:prstGeom prst="rect">
                      <a:avLst/>
                    </a:prstGeom>
                    <a:noFill/>
                  </pic:spPr>
                </pic:pic>
              </a:graphicData>
            </a:graphic>
          </wp:anchor>
        </w:drawing>
      </w: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45" w:lineRule="exact"/>
        <w:rPr>
          <w:rFonts w:ascii="Times New Roman" w:eastAsia="Times New Roman" w:hAnsi="Times New Roman"/>
        </w:rPr>
      </w:pPr>
    </w:p>
    <w:p w:rsidR="00000000" w:rsidRDefault="008824AB">
      <w:pPr>
        <w:spacing w:line="0" w:lineRule="atLeast"/>
        <w:ind w:left="2240"/>
        <w:rPr>
          <w:rFonts w:ascii="Times New Roman" w:eastAsia="Times New Roman" w:hAnsi="Times New Roman"/>
          <w:sz w:val="28"/>
        </w:rPr>
      </w:pPr>
      <w:r>
        <w:rPr>
          <w:rFonts w:ascii="Times New Roman" w:eastAsia="Times New Roman" w:hAnsi="Times New Roman"/>
          <w:sz w:val="28"/>
        </w:rPr>
        <w:t>Poder Judicial de la Nación</w:t>
      </w:r>
    </w:p>
    <w:p w:rsidR="00000000" w:rsidRDefault="008824AB">
      <w:pPr>
        <w:spacing w:line="129" w:lineRule="exact"/>
        <w:rPr>
          <w:rFonts w:ascii="Times New Roman" w:eastAsia="Times New Roman" w:hAnsi="Times New Roman"/>
        </w:rPr>
      </w:pPr>
    </w:p>
    <w:p w:rsidR="00000000" w:rsidRDefault="008824AB">
      <w:pPr>
        <w:spacing w:line="239" w:lineRule="auto"/>
        <w:ind w:left="2680"/>
        <w:rPr>
          <w:rFonts w:ascii="Times New Roman" w:eastAsia="Times New Roman" w:hAnsi="Times New Roman"/>
          <w:sz w:val="18"/>
        </w:rPr>
      </w:pPr>
      <w:r>
        <w:rPr>
          <w:rFonts w:ascii="Times New Roman" w:eastAsia="Times New Roman" w:hAnsi="Times New Roman"/>
          <w:sz w:val="18"/>
        </w:rPr>
        <w:t>CAMARA CRIMINAL Y CORRECCIONAL FEDERAL - SALA 2</w:t>
      </w:r>
    </w:p>
    <w:p w:rsidR="00000000" w:rsidRDefault="008824AB">
      <w:pPr>
        <w:spacing w:line="239" w:lineRule="auto"/>
        <w:ind w:left="5740"/>
        <w:rPr>
          <w:rFonts w:ascii="Times New Roman" w:eastAsia="Times New Roman" w:hAnsi="Times New Roman"/>
          <w:sz w:val="18"/>
        </w:rPr>
      </w:pPr>
      <w:r>
        <w:rPr>
          <w:rFonts w:ascii="Times New Roman" w:eastAsia="Times New Roman" w:hAnsi="Times New Roman"/>
          <w:sz w:val="18"/>
        </w:rPr>
        <w:t>CFP 12152/2015/27/CA5</w:t>
      </w:r>
    </w:p>
    <w:p w:rsidR="00000000" w:rsidRDefault="008824AB">
      <w:pPr>
        <w:spacing w:line="293" w:lineRule="exact"/>
        <w:rPr>
          <w:rFonts w:ascii="Times New Roman" w:eastAsia="Times New Roman" w:hAnsi="Times New Roman"/>
        </w:rPr>
      </w:pPr>
    </w:p>
    <w:p w:rsidR="00000000" w:rsidRDefault="008824AB">
      <w:pPr>
        <w:spacing w:line="357" w:lineRule="auto"/>
        <w:ind w:firstLine="2837"/>
        <w:rPr>
          <w:rFonts w:ascii="Times New Roman" w:eastAsia="Times New Roman" w:hAnsi="Times New Roman"/>
          <w:sz w:val="26"/>
        </w:rPr>
      </w:pPr>
      <w:r>
        <w:rPr>
          <w:rFonts w:ascii="Times New Roman" w:eastAsia="Times New Roman" w:hAnsi="Times New Roman"/>
          <w:sz w:val="26"/>
        </w:rPr>
        <w:t>El BCRA, a través del Mercad</w:t>
      </w:r>
      <w:r>
        <w:rPr>
          <w:rFonts w:ascii="Times New Roman" w:eastAsia="Times New Roman" w:hAnsi="Times New Roman"/>
          <w:sz w:val="26"/>
        </w:rPr>
        <w:t>o a Término de Rosario S.A. (</w:t>
      </w:r>
      <w:r>
        <w:rPr>
          <w:rFonts w:ascii="Times New Roman" w:eastAsia="Times New Roman" w:hAnsi="Times New Roman"/>
          <w:sz w:val="26"/>
        </w:rPr>
        <w:t>“ROFEX</w:t>
      </w:r>
      <w:r>
        <w:rPr>
          <w:rFonts w:ascii="Times New Roman" w:eastAsia="Times New Roman" w:hAnsi="Times New Roman"/>
          <w:sz w:val="26"/>
        </w:rPr>
        <w:t>”) y del Mercado Abierto Electrónico S.A. (</w:t>
      </w:r>
      <w:r>
        <w:rPr>
          <w:rFonts w:ascii="Times New Roman" w:eastAsia="Times New Roman" w:hAnsi="Times New Roman"/>
          <w:sz w:val="26"/>
        </w:rPr>
        <w:t>“MAE</w:t>
      </w:r>
      <w:r>
        <w:rPr>
          <w:rFonts w:ascii="Times New Roman" w:eastAsia="Times New Roman" w:hAnsi="Times New Roman"/>
          <w:sz w:val="26"/>
        </w:rPr>
        <w:t>”), entre los meses de septiembre y noviembre de 2015, vendió dólares a futuro a un precio aproximado de entre $ 10,50 y $ 11,50 a los plazos que pedía el sector privado (con</w:t>
      </w:r>
      <w:r>
        <w:rPr>
          <w:rFonts w:ascii="Times New Roman" w:eastAsia="Times New Roman" w:hAnsi="Times New Roman"/>
          <w:sz w:val="26"/>
        </w:rPr>
        <w:t>traparte), entre febrero y junio de 2016.</w:t>
      </w:r>
    </w:p>
    <w:p w:rsidR="00000000" w:rsidRDefault="008824AB">
      <w:pPr>
        <w:spacing w:line="22" w:lineRule="exact"/>
        <w:rPr>
          <w:rFonts w:ascii="Times New Roman" w:eastAsia="Times New Roman" w:hAnsi="Times New Roman"/>
        </w:rPr>
      </w:pPr>
    </w:p>
    <w:p w:rsidR="00000000" w:rsidRDefault="008824AB">
      <w:pPr>
        <w:spacing w:line="358" w:lineRule="auto"/>
        <w:ind w:right="80" w:firstLine="2837"/>
        <w:rPr>
          <w:rFonts w:ascii="Times New Roman" w:eastAsia="Times New Roman" w:hAnsi="Times New Roman"/>
          <w:sz w:val="26"/>
        </w:rPr>
      </w:pPr>
      <w:r>
        <w:rPr>
          <w:rFonts w:ascii="Times New Roman" w:eastAsia="Times New Roman" w:hAnsi="Times New Roman"/>
          <w:sz w:val="26"/>
        </w:rPr>
        <w:t xml:space="preserve">Las autoridades del BCRA, en el momento de celebrarse esos contratos, sabían que en los mercados que no tenían injerencia estatal (tanto los mercados de Nueva York -EEUU- a través de la operatoria conocida como </w:t>
      </w:r>
      <w:r>
        <w:rPr>
          <w:rFonts w:ascii="Times New Roman" w:eastAsia="Times New Roman" w:hAnsi="Times New Roman"/>
          <w:sz w:val="26"/>
        </w:rPr>
        <w:t>“</w:t>
      </w:r>
      <w:r>
        <w:rPr>
          <w:rFonts w:ascii="Times New Roman" w:eastAsia="Times New Roman" w:hAnsi="Times New Roman"/>
          <w:sz w:val="26"/>
        </w:rPr>
        <w:t>contado con liquidación</w:t>
      </w:r>
      <w:r>
        <w:rPr>
          <w:rFonts w:ascii="Times New Roman" w:eastAsia="Times New Roman" w:hAnsi="Times New Roman"/>
          <w:sz w:val="26"/>
        </w:rPr>
        <w:t xml:space="preserve">” como el mercado de capitales local a través de la operatoria denominada </w:t>
      </w:r>
      <w:r>
        <w:rPr>
          <w:rFonts w:ascii="Times New Roman" w:eastAsia="Times New Roman" w:hAnsi="Times New Roman"/>
          <w:sz w:val="26"/>
        </w:rPr>
        <w:t>“dólar bolsa</w:t>
      </w:r>
      <w:r>
        <w:rPr>
          <w:rFonts w:ascii="Times New Roman" w:eastAsia="Times New Roman" w:hAnsi="Times New Roman"/>
          <w:sz w:val="26"/>
        </w:rPr>
        <w:t>”), la divisa cotizaba en ese mismo momento a un valor de entre $ 14 y $ 15 y más.</w:t>
      </w:r>
    </w:p>
    <w:p w:rsidR="00000000" w:rsidRDefault="008824AB">
      <w:pPr>
        <w:spacing w:line="17" w:lineRule="exact"/>
        <w:rPr>
          <w:rFonts w:ascii="Times New Roman" w:eastAsia="Times New Roman" w:hAnsi="Times New Roman"/>
        </w:rPr>
      </w:pPr>
    </w:p>
    <w:p w:rsidR="00000000" w:rsidRDefault="008824AB">
      <w:pPr>
        <w:spacing w:line="356" w:lineRule="auto"/>
        <w:ind w:right="100" w:firstLine="2837"/>
        <w:jc w:val="both"/>
        <w:rPr>
          <w:rFonts w:ascii="Times New Roman" w:eastAsia="Times New Roman" w:hAnsi="Times New Roman"/>
          <w:sz w:val="26"/>
        </w:rPr>
      </w:pPr>
      <w:r>
        <w:rPr>
          <w:rFonts w:ascii="Times New Roman" w:eastAsia="Times New Roman" w:hAnsi="Times New Roman"/>
          <w:sz w:val="26"/>
        </w:rPr>
        <w:t>Dicho de otro modo, el BCRA ofreció en el mercado cobertura ven</w:t>
      </w:r>
      <w:r>
        <w:rPr>
          <w:rFonts w:ascii="Times New Roman" w:eastAsia="Times New Roman" w:hAnsi="Times New Roman"/>
          <w:sz w:val="26"/>
        </w:rPr>
        <w:t>dedora a sabiendas de que, cuando lo hacía, ya el dólar valía en el mercado más de un 40 % del precio de venta en un innumerable cantidad de casos.</w:t>
      </w:r>
    </w:p>
    <w:p w:rsidR="00000000" w:rsidRDefault="008824AB">
      <w:pPr>
        <w:spacing w:line="19" w:lineRule="exact"/>
        <w:rPr>
          <w:rFonts w:ascii="Times New Roman" w:eastAsia="Times New Roman" w:hAnsi="Times New Roman"/>
        </w:rPr>
      </w:pPr>
    </w:p>
    <w:p w:rsidR="00000000" w:rsidRDefault="008824AB">
      <w:pPr>
        <w:spacing w:line="358" w:lineRule="auto"/>
        <w:ind w:right="140" w:firstLine="2837"/>
        <w:rPr>
          <w:rFonts w:ascii="Times New Roman" w:eastAsia="Times New Roman" w:hAnsi="Times New Roman"/>
          <w:sz w:val="26"/>
        </w:rPr>
      </w:pPr>
      <w:r>
        <w:rPr>
          <w:rFonts w:ascii="Times New Roman" w:eastAsia="Times New Roman" w:hAnsi="Times New Roman"/>
          <w:sz w:val="26"/>
        </w:rPr>
        <w:t>Es elocuente de ese desequilibrio, la observación efectuada en el voto precedente acerca de que, el mismo d</w:t>
      </w:r>
      <w:r>
        <w:rPr>
          <w:rFonts w:ascii="Times New Roman" w:eastAsia="Times New Roman" w:hAnsi="Times New Roman"/>
          <w:sz w:val="26"/>
        </w:rPr>
        <w:t>ía en que el BCRA vendía dólares a futuro a un determinado precio, algunas de las entidades bancarias adquirentes colocaban esos activos a precios notoriamente superiores entre algunos de sus clientes (vgr., caso del ICBC que, el día 23/10/15, compró al BC</w:t>
      </w:r>
      <w:r>
        <w:rPr>
          <w:rFonts w:ascii="Times New Roman" w:eastAsia="Times New Roman" w:hAnsi="Times New Roman"/>
          <w:sz w:val="26"/>
        </w:rPr>
        <w:t>RA dólares con vencimiento al 29/4/16 a un precio de $ 10,8165, y en la misma fecha los revendió con idéntico vencimiento a $ 12,225, compartiendo así el margen de ganancia con su comitente), pues ello pone en evidencia un</w:t>
      </w:r>
    </w:p>
    <w:p w:rsidR="00000000" w:rsidRDefault="008824AB">
      <w:pPr>
        <w:spacing w:line="358" w:lineRule="auto"/>
        <w:ind w:right="140" w:firstLine="2837"/>
        <w:rPr>
          <w:rFonts w:ascii="Times New Roman" w:eastAsia="Times New Roman" w:hAnsi="Times New Roman"/>
          <w:sz w:val="26"/>
        </w:rPr>
        <w:sectPr w:rsidR="00000000">
          <w:pgSz w:w="11900" w:h="16840"/>
          <w:pgMar w:top="373" w:right="980" w:bottom="1440" w:left="3200" w:header="0" w:footer="0" w:gutter="0"/>
          <w:cols w:space="0" w:equalWidth="0">
            <w:col w:w="7720"/>
          </w:cols>
          <w:docGrid w:linePitch="360"/>
        </w:sectPr>
      </w:pPr>
    </w:p>
    <w:p w:rsidR="00000000" w:rsidRDefault="008824AB">
      <w:pPr>
        <w:spacing w:line="200" w:lineRule="exact"/>
        <w:rPr>
          <w:rFonts w:ascii="Times New Roman" w:eastAsia="Times New Roman" w:hAnsi="Times New Roman"/>
        </w:rPr>
      </w:pPr>
      <w:bookmarkStart w:id="29" w:name="page30"/>
      <w:bookmarkEnd w:id="29"/>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27" w:lineRule="exact"/>
        <w:rPr>
          <w:rFonts w:ascii="Times New Roman" w:eastAsia="Times New Roman" w:hAnsi="Times New Roman"/>
        </w:rPr>
      </w:pPr>
    </w:p>
    <w:p w:rsidR="00000000" w:rsidRDefault="008824AB">
      <w:pPr>
        <w:spacing w:line="348" w:lineRule="auto"/>
        <w:rPr>
          <w:rFonts w:ascii="Times New Roman" w:eastAsia="Times New Roman" w:hAnsi="Times New Roman"/>
          <w:sz w:val="26"/>
        </w:rPr>
      </w:pPr>
      <w:r>
        <w:rPr>
          <w:rFonts w:ascii="Times New Roman" w:eastAsia="Times New Roman" w:hAnsi="Times New Roman"/>
          <w:sz w:val="26"/>
        </w:rPr>
        <w:t>elemento de juicio decisi</w:t>
      </w:r>
      <w:r>
        <w:rPr>
          <w:rFonts w:ascii="Times New Roman" w:eastAsia="Times New Roman" w:hAnsi="Times New Roman"/>
          <w:sz w:val="26"/>
        </w:rPr>
        <w:t>vo en el análisis: el BCRA era el único vendedor a esos precios.</w:t>
      </w:r>
    </w:p>
    <w:p w:rsidR="00000000" w:rsidRDefault="008824AB">
      <w:pPr>
        <w:spacing w:line="28" w:lineRule="exact"/>
        <w:rPr>
          <w:rFonts w:ascii="Times New Roman" w:eastAsia="Times New Roman" w:hAnsi="Times New Roman"/>
        </w:rPr>
      </w:pPr>
    </w:p>
    <w:p w:rsidR="00000000" w:rsidRDefault="008824AB">
      <w:pPr>
        <w:spacing w:line="359" w:lineRule="auto"/>
        <w:ind w:right="40" w:firstLine="2837"/>
        <w:rPr>
          <w:rFonts w:ascii="Times New Roman" w:eastAsia="Times New Roman" w:hAnsi="Times New Roman"/>
          <w:sz w:val="26"/>
        </w:rPr>
      </w:pPr>
      <w:r>
        <w:rPr>
          <w:rFonts w:ascii="Times New Roman" w:eastAsia="Times New Roman" w:hAnsi="Times New Roman"/>
          <w:sz w:val="26"/>
        </w:rPr>
        <w:t>Y en ese orden de ideas, es preciso tener en cuenta que al ser el BCRA el único vendedor de futuros en los términos señalados, a precios sometidos a una cotización cambiaria de naturaleza a</w:t>
      </w:r>
      <w:r>
        <w:rPr>
          <w:rFonts w:ascii="Times New Roman" w:eastAsia="Times New Roman" w:hAnsi="Times New Roman"/>
          <w:sz w:val="26"/>
        </w:rPr>
        <w:t xml:space="preserve">dministrativa (y no de mercado), es evidente que las operaciones concertadas vulneraron, además, los principios tuitivos de la Ley 26.831 de Mercado de Capitales, en especial el de </w:t>
      </w:r>
      <w:r>
        <w:rPr>
          <w:rFonts w:ascii="Times New Roman" w:eastAsia="Times New Roman" w:hAnsi="Times New Roman"/>
          <w:sz w:val="26"/>
        </w:rPr>
        <w:t>“transparencia</w:t>
      </w:r>
      <w:r>
        <w:rPr>
          <w:rFonts w:ascii="Times New Roman" w:eastAsia="Times New Roman" w:hAnsi="Times New Roman"/>
          <w:sz w:val="26"/>
        </w:rPr>
        <w:t>”, lo que revela, por un lado, la responsabilidad del Directo</w:t>
      </w:r>
      <w:r>
        <w:rPr>
          <w:rFonts w:ascii="Times New Roman" w:eastAsia="Times New Roman" w:hAnsi="Times New Roman"/>
          <w:sz w:val="26"/>
        </w:rPr>
        <w:t>rio de la Comisión Nacional de Valores en esta operatoria, en tanto dicha Comisión tenía el deber de supervisar, inspeccionar, fiscalizar y hasta sancionar a todas las personas físicas o jurídicas que, por cualquier causa, desarrollen actividades relaciona</w:t>
      </w:r>
      <w:r>
        <w:rPr>
          <w:rFonts w:ascii="Times New Roman" w:eastAsia="Times New Roman" w:hAnsi="Times New Roman"/>
          <w:sz w:val="26"/>
        </w:rPr>
        <w:t xml:space="preserve">das con la oferta pública de títulos y valores y que ejecutaran actos que afectaran esa </w:t>
      </w:r>
      <w:r>
        <w:rPr>
          <w:rFonts w:ascii="Times New Roman" w:eastAsia="Times New Roman" w:hAnsi="Times New Roman"/>
          <w:sz w:val="26"/>
        </w:rPr>
        <w:t>“transparencia</w:t>
      </w:r>
      <w:r>
        <w:rPr>
          <w:rFonts w:ascii="Times New Roman" w:eastAsia="Times New Roman" w:hAnsi="Times New Roman"/>
          <w:sz w:val="26"/>
        </w:rPr>
        <w:t>”; y por el otro, la actuación necesariamente mancomunada del BCRA -actuando conforme a las políticas del gobierno nacional- y de la CNV, como entidad aut</w:t>
      </w:r>
      <w:r>
        <w:rPr>
          <w:rFonts w:ascii="Times New Roman" w:eastAsia="Times New Roman" w:hAnsi="Times New Roman"/>
          <w:sz w:val="26"/>
        </w:rPr>
        <w:t>árquica actuante dentro de la órbita del Ministerio de Economía.</w:t>
      </w:r>
    </w:p>
    <w:p w:rsidR="00000000" w:rsidRDefault="008824AB">
      <w:pPr>
        <w:spacing w:line="9" w:lineRule="exact"/>
        <w:rPr>
          <w:rFonts w:ascii="Times New Roman" w:eastAsia="Times New Roman" w:hAnsi="Times New Roman"/>
        </w:rPr>
      </w:pPr>
    </w:p>
    <w:p w:rsidR="00000000" w:rsidRDefault="008824AB">
      <w:pPr>
        <w:spacing w:line="361" w:lineRule="auto"/>
        <w:ind w:right="60" w:firstLine="2837"/>
        <w:rPr>
          <w:rFonts w:ascii="Times New Roman" w:eastAsia="Times New Roman" w:hAnsi="Times New Roman"/>
          <w:sz w:val="26"/>
        </w:rPr>
      </w:pPr>
      <w:r>
        <w:rPr>
          <w:rFonts w:ascii="Times New Roman" w:eastAsia="Times New Roman" w:hAnsi="Times New Roman"/>
          <w:b/>
          <w:sz w:val="26"/>
        </w:rPr>
        <w:t xml:space="preserve">5) </w:t>
      </w:r>
      <w:r>
        <w:rPr>
          <w:rFonts w:ascii="Times New Roman" w:eastAsia="Times New Roman" w:hAnsi="Times New Roman"/>
          <w:sz w:val="26"/>
        </w:rPr>
        <w:t>Frente a las objeciones señaladas por los</w:t>
      </w:r>
      <w:r>
        <w:rPr>
          <w:rFonts w:ascii="Times New Roman" w:eastAsia="Times New Roman" w:hAnsi="Times New Roman"/>
          <w:b/>
          <w:sz w:val="26"/>
        </w:rPr>
        <w:t xml:space="preserve"> </w:t>
      </w:r>
      <w:r>
        <w:rPr>
          <w:rFonts w:ascii="Times New Roman" w:eastAsia="Times New Roman" w:hAnsi="Times New Roman"/>
          <w:sz w:val="26"/>
        </w:rPr>
        <w:t xml:space="preserve">apelantes, es preciso señalar que si -como pretenden- el legislador hubiera querido autorizar al BCRA a vender divisas a la </w:t>
      </w:r>
      <w:r>
        <w:rPr>
          <w:rFonts w:ascii="Times New Roman" w:eastAsia="Times New Roman" w:hAnsi="Times New Roman"/>
          <w:sz w:val="26"/>
        </w:rPr>
        <w:t>“cotización oficial</w:t>
      </w:r>
      <w:r>
        <w:rPr>
          <w:rFonts w:ascii="Times New Roman" w:eastAsia="Times New Roman" w:hAnsi="Times New Roman"/>
          <w:sz w:val="26"/>
        </w:rPr>
        <w:t xml:space="preserve">” </w:t>
      </w:r>
      <w:r>
        <w:rPr>
          <w:rFonts w:ascii="Times New Roman" w:eastAsia="Times New Roman" w:hAnsi="Times New Roman"/>
          <w:sz w:val="26"/>
        </w:rPr>
        <w:t xml:space="preserve">que fijare el propio ente o al precio </w:t>
      </w:r>
      <w:r>
        <w:rPr>
          <w:rFonts w:ascii="Times New Roman" w:eastAsia="Times New Roman" w:hAnsi="Times New Roman"/>
          <w:sz w:val="26"/>
        </w:rPr>
        <w:t>“estimado en la Ley de Presupuesto</w:t>
      </w:r>
      <w:r>
        <w:rPr>
          <w:rFonts w:ascii="Times New Roman" w:eastAsia="Times New Roman" w:hAnsi="Times New Roman"/>
          <w:sz w:val="26"/>
        </w:rPr>
        <w:t>”, así lo hubiera previsto expresamente, o lo hubiera dejado de algún modo a criterio del organismo o, en última instancia, no hubiera dicho nada. Por el contrario, el legislador dispu</w:t>
      </w:r>
      <w:r>
        <w:rPr>
          <w:rFonts w:ascii="Times New Roman" w:eastAsia="Times New Roman" w:hAnsi="Times New Roman"/>
          <w:sz w:val="26"/>
        </w:rPr>
        <w:t>so, expresamente, algo bien distinto, como se dijo, para limitar esa discrecionalidad.</w:t>
      </w:r>
    </w:p>
    <w:p w:rsidR="00000000" w:rsidRDefault="008824AB">
      <w:pPr>
        <w:spacing w:line="361" w:lineRule="auto"/>
        <w:ind w:right="60" w:firstLine="2837"/>
        <w:rPr>
          <w:rFonts w:ascii="Times New Roman" w:eastAsia="Times New Roman" w:hAnsi="Times New Roman"/>
          <w:sz w:val="26"/>
        </w:rPr>
        <w:sectPr w:rsidR="00000000">
          <w:pgSz w:w="11900" w:h="16840"/>
          <w:pgMar w:top="1440" w:right="3020" w:bottom="1440" w:left="1140" w:header="0" w:footer="0" w:gutter="0"/>
          <w:cols w:space="0" w:equalWidth="0">
            <w:col w:w="7740"/>
          </w:cols>
          <w:docGrid w:linePitch="360"/>
        </w:sectPr>
      </w:pPr>
    </w:p>
    <w:p w:rsidR="00000000" w:rsidRDefault="008824AB">
      <w:pPr>
        <w:spacing w:line="0" w:lineRule="atLeast"/>
        <w:ind w:left="440"/>
        <w:rPr>
          <w:sz w:val="24"/>
        </w:rPr>
      </w:pPr>
      <w:bookmarkStart w:id="30" w:name="page31"/>
      <w:bookmarkEnd w:id="30"/>
      <w:r>
        <w:rPr>
          <w:sz w:val="24"/>
        </w:rPr>
        <w:lastRenderedPageBreak/>
        <w:t>Año del Bicentenario de la Declaración de la Independencia Nacional</w:t>
      </w:r>
    </w:p>
    <w:p w:rsidR="00000000" w:rsidRDefault="002D0F24">
      <w:pPr>
        <w:spacing w:line="200" w:lineRule="exact"/>
        <w:rPr>
          <w:rFonts w:ascii="Times New Roman" w:eastAsia="Times New Roman" w:hAnsi="Times New Roman"/>
        </w:rPr>
      </w:pPr>
      <w:r>
        <w:rPr>
          <w:noProof/>
          <w:sz w:val="24"/>
        </w:rPr>
        <w:drawing>
          <wp:anchor distT="0" distB="0" distL="114300" distR="114300" simplePos="0" relativeHeight="251673600" behindDoc="1" locked="0" layoutInCell="0" allowOverlap="1">
            <wp:simplePos x="0" y="0"/>
            <wp:positionH relativeFrom="column">
              <wp:posOffset>2213610</wp:posOffset>
            </wp:positionH>
            <wp:positionV relativeFrom="paragraph">
              <wp:posOffset>50800</wp:posOffset>
            </wp:positionV>
            <wp:extent cx="374650" cy="575945"/>
            <wp:effectExtent l="19050" t="0" r="6350"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cstate="print"/>
                    <a:srcRect/>
                    <a:stretch>
                      <a:fillRect/>
                    </a:stretch>
                  </pic:blipFill>
                  <pic:spPr bwMode="auto">
                    <a:xfrm>
                      <a:off x="0" y="0"/>
                      <a:ext cx="374650" cy="575945"/>
                    </a:xfrm>
                    <a:prstGeom prst="rect">
                      <a:avLst/>
                    </a:prstGeom>
                    <a:noFill/>
                  </pic:spPr>
                </pic:pic>
              </a:graphicData>
            </a:graphic>
          </wp:anchor>
        </w:drawing>
      </w: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45" w:lineRule="exact"/>
        <w:rPr>
          <w:rFonts w:ascii="Times New Roman" w:eastAsia="Times New Roman" w:hAnsi="Times New Roman"/>
        </w:rPr>
      </w:pPr>
    </w:p>
    <w:p w:rsidR="00000000" w:rsidRDefault="008824AB">
      <w:pPr>
        <w:spacing w:line="0" w:lineRule="atLeast"/>
        <w:ind w:left="2240"/>
        <w:rPr>
          <w:rFonts w:ascii="Times New Roman" w:eastAsia="Times New Roman" w:hAnsi="Times New Roman"/>
          <w:sz w:val="28"/>
        </w:rPr>
      </w:pPr>
      <w:r>
        <w:rPr>
          <w:rFonts w:ascii="Times New Roman" w:eastAsia="Times New Roman" w:hAnsi="Times New Roman"/>
          <w:sz w:val="28"/>
        </w:rPr>
        <w:t>Poder Judicial de la Nación</w:t>
      </w:r>
    </w:p>
    <w:p w:rsidR="00000000" w:rsidRDefault="008824AB">
      <w:pPr>
        <w:spacing w:line="129" w:lineRule="exact"/>
        <w:rPr>
          <w:rFonts w:ascii="Times New Roman" w:eastAsia="Times New Roman" w:hAnsi="Times New Roman"/>
        </w:rPr>
      </w:pPr>
    </w:p>
    <w:p w:rsidR="00000000" w:rsidRDefault="008824AB">
      <w:pPr>
        <w:spacing w:line="239" w:lineRule="auto"/>
        <w:ind w:left="2680"/>
        <w:rPr>
          <w:rFonts w:ascii="Times New Roman" w:eastAsia="Times New Roman" w:hAnsi="Times New Roman"/>
          <w:sz w:val="18"/>
        </w:rPr>
      </w:pPr>
      <w:r>
        <w:rPr>
          <w:rFonts w:ascii="Times New Roman" w:eastAsia="Times New Roman" w:hAnsi="Times New Roman"/>
          <w:sz w:val="18"/>
        </w:rPr>
        <w:t>CAMARA CRIMINAL Y CORRECCIONAL FEDERAL - SALA 2</w:t>
      </w:r>
    </w:p>
    <w:p w:rsidR="00000000" w:rsidRDefault="008824AB">
      <w:pPr>
        <w:spacing w:line="239" w:lineRule="auto"/>
        <w:ind w:left="5740"/>
        <w:rPr>
          <w:rFonts w:ascii="Times New Roman" w:eastAsia="Times New Roman" w:hAnsi="Times New Roman"/>
          <w:sz w:val="18"/>
        </w:rPr>
      </w:pPr>
      <w:r>
        <w:rPr>
          <w:rFonts w:ascii="Times New Roman" w:eastAsia="Times New Roman" w:hAnsi="Times New Roman"/>
          <w:sz w:val="18"/>
        </w:rPr>
        <w:t>CFP 12152/2015/27</w:t>
      </w:r>
      <w:r>
        <w:rPr>
          <w:rFonts w:ascii="Times New Roman" w:eastAsia="Times New Roman" w:hAnsi="Times New Roman"/>
          <w:sz w:val="18"/>
        </w:rPr>
        <w:t>/CA5</w:t>
      </w:r>
    </w:p>
    <w:p w:rsidR="00000000" w:rsidRDefault="008824AB">
      <w:pPr>
        <w:spacing w:line="293" w:lineRule="exact"/>
        <w:rPr>
          <w:rFonts w:ascii="Times New Roman" w:eastAsia="Times New Roman" w:hAnsi="Times New Roman"/>
        </w:rPr>
      </w:pPr>
    </w:p>
    <w:p w:rsidR="00000000" w:rsidRDefault="008824AB">
      <w:pPr>
        <w:spacing w:line="356" w:lineRule="auto"/>
        <w:ind w:firstLine="2837"/>
        <w:rPr>
          <w:rFonts w:ascii="Times New Roman" w:eastAsia="Times New Roman" w:hAnsi="Times New Roman"/>
          <w:sz w:val="26"/>
        </w:rPr>
      </w:pPr>
      <w:r>
        <w:rPr>
          <w:rFonts w:ascii="Times New Roman" w:eastAsia="Times New Roman" w:hAnsi="Times New Roman"/>
          <w:sz w:val="26"/>
        </w:rPr>
        <w:t xml:space="preserve">Hay en esto, a mi juicio, además, una reflexión adicional que hacer, en vistas de la insistencia de los apelantes sobre el carácter </w:t>
      </w:r>
      <w:r>
        <w:rPr>
          <w:rFonts w:ascii="Times New Roman" w:eastAsia="Times New Roman" w:hAnsi="Times New Roman"/>
          <w:sz w:val="26"/>
        </w:rPr>
        <w:t>“ilegal</w:t>
      </w:r>
      <w:r>
        <w:rPr>
          <w:rFonts w:ascii="Times New Roman" w:eastAsia="Times New Roman" w:hAnsi="Times New Roman"/>
          <w:sz w:val="26"/>
        </w:rPr>
        <w:t>” de cualquier valor que se asignara al dólar que no fuera el de la cotización oficial.</w:t>
      </w:r>
    </w:p>
    <w:p w:rsidR="00000000" w:rsidRDefault="008824AB">
      <w:pPr>
        <w:spacing w:line="19" w:lineRule="exact"/>
        <w:rPr>
          <w:rFonts w:ascii="Times New Roman" w:eastAsia="Times New Roman" w:hAnsi="Times New Roman"/>
        </w:rPr>
      </w:pPr>
    </w:p>
    <w:p w:rsidR="00000000" w:rsidRDefault="008824AB">
      <w:pPr>
        <w:spacing w:line="359" w:lineRule="auto"/>
        <w:ind w:right="40" w:firstLine="2837"/>
        <w:rPr>
          <w:rFonts w:ascii="Times New Roman" w:eastAsia="Times New Roman" w:hAnsi="Times New Roman"/>
          <w:sz w:val="26"/>
        </w:rPr>
      </w:pPr>
      <w:r>
        <w:rPr>
          <w:rFonts w:ascii="Times New Roman" w:eastAsia="Times New Roman" w:hAnsi="Times New Roman"/>
          <w:sz w:val="26"/>
        </w:rPr>
        <w:t>Al receptar el Código</w:t>
      </w:r>
      <w:r>
        <w:rPr>
          <w:rFonts w:ascii="Times New Roman" w:eastAsia="Times New Roman" w:hAnsi="Times New Roman"/>
          <w:sz w:val="26"/>
        </w:rPr>
        <w:t xml:space="preserve"> Procesal Penal el método de la sana crítica para la evaluación de la prueba, el legislador impuso a los jueces la obligación de apreciar la evidencia </w:t>
      </w:r>
      <w:r>
        <w:rPr>
          <w:rFonts w:ascii="Times New Roman" w:eastAsia="Times New Roman" w:hAnsi="Times New Roman"/>
          <w:i/>
          <w:sz w:val="26"/>
        </w:rPr>
        <w:t>“de buena fe</w:t>
      </w:r>
      <w:r>
        <w:rPr>
          <w:rFonts w:ascii="Times New Roman" w:eastAsia="Times New Roman" w:hAnsi="Times New Roman"/>
          <w:sz w:val="26"/>
        </w:rPr>
        <w:t xml:space="preserve"> </w:t>
      </w:r>
      <w:r>
        <w:rPr>
          <w:rFonts w:ascii="Times New Roman" w:eastAsia="Times New Roman" w:hAnsi="Times New Roman"/>
          <w:i/>
          <w:sz w:val="26"/>
        </w:rPr>
        <w:t>… conforme a las reglas de la lógica, de la psicología y de la experiencia común …</w:t>
      </w:r>
      <w:r>
        <w:rPr>
          <w:rFonts w:ascii="Times New Roman" w:eastAsia="Times New Roman" w:hAnsi="Times New Roman"/>
          <w:i/>
          <w:sz w:val="26"/>
        </w:rPr>
        <w:t xml:space="preserve">” </w:t>
      </w:r>
      <w:r>
        <w:rPr>
          <w:rFonts w:ascii="Times New Roman" w:eastAsia="Times New Roman" w:hAnsi="Times New Roman"/>
          <w:sz w:val="26"/>
        </w:rPr>
        <w:t>y, en es</w:t>
      </w:r>
      <w:r>
        <w:rPr>
          <w:rFonts w:ascii="Times New Roman" w:eastAsia="Times New Roman" w:hAnsi="Times New Roman"/>
          <w:sz w:val="26"/>
        </w:rPr>
        <w:t>e orden de ideas se ha dicho que esas</w:t>
      </w:r>
      <w:r>
        <w:rPr>
          <w:rFonts w:ascii="Times New Roman" w:eastAsia="Times New Roman" w:hAnsi="Times New Roman"/>
          <w:i/>
          <w:sz w:val="26"/>
        </w:rPr>
        <w:t xml:space="preserve"> </w:t>
      </w:r>
      <w:r>
        <w:rPr>
          <w:rFonts w:ascii="Times New Roman" w:eastAsia="Times New Roman" w:hAnsi="Times New Roman"/>
          <w:sz w:val="26"/>
        </w:rPr>
        <w:t xml:space="preserve">reglas </w:t>
      </w:r>
      <w:r>
        <w:rPr>
          <w:rFonts w:ascii="Times New Roman" w:eastAsia="Times New Roman" w:hAnsi="Times New Roman"/>
          <w:i/>
          <w:sz w:val="26"/>
        </w:rPr>
        <w:t>“… son, ante todo, las reglas del correcto entendimiento humano.</w:t>
      </w:r>
      <w:r>
        <w:rPr>
          <w:rFonts w:ascii="Times New Roman" w:eastAsia="Times New Roman" w:hAnsi="Times New Roman"/>
          <w:sz w:val="26"/>
        </w:rPr>
        <w:t xml:space="preserve"> </w:t>
      </w:r>
      <w:r>
        <w:rPr>
          <w:rFonts w:ascii="Times New Roman" w:eastAsia="Times New Roman" w:hAnsi="Times New Roman"/>
          <w:i/>
          <w:sz w:val="26"/>
        </w:rPr>
        <w:t>En ellas interfieren las reglas de la lógica con las de la experiencia del Juez. Unas y otras contribuyen de igual manera a que el magistrado pued</w:t>
      </w:r>
      <w:r>
        <w:rPr>
          <w:rFonts w:ascii="Times New Roman" w:eastAsia="Times New Roman" w:hAnsi="Times New Roman"/>
          <w:i/>
          <w:sz w:val="26"/>
        </w:rPr>
        <w:t>a analizar la prueba con arreglo a la razón y a un conocimiento experimental de las cosas … La sana crítica es la unión de la lógica y de la experiencia, sin excesivas abstracciones de orden intelectual, pero también sin olvidar esos preceptos que los filó</w:t>
      </w:r>
      <w:r>
        <w:rPr>
          <w:rFonts w:ascii="Times New Roman" w:eastAsia="Times New Roman" w:hAnsi="Times New Roman"/>
          <w:i/>
          <w:sz w:val="26"/>
        </w:rPr>
        <w:t xml:space="preserve">sofos llaman de higiene mental, tendientes a asegurar el más certero y eficaz razonamiento … Los principios de la experiencia no se presentan en el proceso como información, exposición o expresión de percepciones sensibles … no se averiguan en el proceso, </w:t>
      </w:r>
      <w:r>
        <w:rPr>
          <w:rFonts w:ascii="Times New Roman" w:eastAsia="Times New Roman" w:hAnsi="Times New Roman"/>
          <w:i/>
          <w:sz w:val="26"/>
        </w:rPr>
        <w:t>sino que mediante ellos se indagan hechos. No se necesitan de que se les presente, y se sustraen, por su naturaleza, a una comprobación conforme a la prueba procesal … El conocimiento adquirido a través del tiempo por los hombres permite investigar y compr</w:t>
      </w:r>
      <w:r>
        <w:rPr>
          <w:rFonts w:ascii="Times New Roman" w:eastAsia="Times New Roman" w:hAnsi="Times New Roman"/>
          <w:i/>
          <w:sz w:val="26"/>
        </w:rPr>
        <w:t>obar hechos conforme al modo ordinario de suceder de las cosas …</w:t>
      </w:r>
      <w:r>
        <w:rPr>
          <w:rFonts w:ascii="Times New Roman" w:eastAsia="Times New Roman" w:hAnsi="Times New Roman"/>
          <w:i/>
          <w:sz w:val="26"/>
        </w:rPr>
        <w:t xml:space="preserve">” </w:t>
      </w:r>
      <w:r>
        <w:rPr>
          <w:rFonts w:ascii="Times New Roman" w:eastAsia="Times New Roman" w:hAnsi="Times New Roman"/>
          <w:sz w:val="26"/>
        </w:rPr>
        <w:t>(conf. Raúl Washington Abalos, Derecho Procesal Penal, Ediciones</w:t>
      </w:r>
      <w:r>
        <w:rPr>
          <w:rFonts w:ascii="Times New Roman" w:eastAsia="Times New Roman" w:hAnsi="Times New Roman"/>
          <w:i/>
          <w:sz w:val="26"/>
        </w:rPr>
        <w:t xml:space="preserve"> </w:t>
      </w:r>
      <w:r>
        <w:rPr>
          <w:rFonts w:ascii="Times New Roman" w:eastAsia="Times New Roman" w:hAnsi="Times New Roman"/>
          <w:sz w:val="26"/>
        </w:rPr>
        <w:t>Jurídicas Cuyo, 1993, Tomo 2, página 404 y siguientes).</w:t>
      </w:r>
    </w:p>
    <w:p w:rsidR="00000000" w:rsidRDefault="008824AB">
      <w:pPr>
        <w:spacing w:line="359" w:lineRule="auto"/>
        <w:ind w:right="40" w:firstLine="2837"/>
        <w:rPr>
          <w:rFonts w:ascii="Times New Roman" w:eastAsia="Times New Roman" w:hAnsi="Times New Roman"/>
          <w:sz w:val="26"/>
        </w:rPr>
        <w:sectPr w:rsidR="00000000">
          <w:pgSz w:w="11900" w:h="16840"/>
          <w:pgMar w:top="373" w:right="1020" w:bottom="1440" w:left="3200" w:header="0" w:footer="0" w:gutter="0"/>
          <w:cols w:space="0" w:equalWidth="0">
            <w:col w:w="7680"/>
          </w:cols>
          <w:docGrid w:linePitch="360"/>
        </w:sectPr>
      </w:pPr>
    </w:p>
    <w:p w:rsidR="00000000" w:rsidRDefault="008824AB">
      <w:pPr>
        <w:spacing w:line="200" w:lineRule="exact"/>
        <w:rPr>
          <w:rFonts w:ascii="Times New Roman" w:eastAsia="Times New Roman" w:hAnsi="Times New Roman"/>
        </w:rPr>
      </w:pPr>
      <w:bookmarkStart w:id="31" w:name="page32"/>
      <w:bookmarkEnd w:id="31"/>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27" w:lineRule="exact"/>
        <w:rPr>
          <w:rFonts w:ascii="Times New Roman" w:eastAsia="Times New Roman" w:hAnsi="Times New Roman"/>
        </w:rPr>
      </w:pPr>
    </w:p>
    <w:p w:rsidR="00000000" w:rsidRDefault="008824AB">
      <w:pPr>
        <w:spacing w:line="359" w:lineRule="auto"/>
        <w:ind w:firstLine="2837"/>
        <w:rPr>
          <w:rFonts w:ascii="Times New Roman" w:eastAsia="Times New Roman" w:hAnsi="Times New Roman"/>
          <w:sz w:val="26"/>
        </w:rPr>
      </w:pPr>
      <w:r>
        <w:rPr>
          <w:rFonts w:ascii="Times New Roman" w:eastAsia="Times New Roman" w:hAnsi="Times New Roman"/>
          <w:sz w:val="26"/>
        </w:rPr>
        <w:t>Pues bien: sobre tales premisas es dable concluir que eso que</w:t>
      </w:r>
      <w:r>
        <w:rPr>
          <w:rFonts w:ascii="Times New Roman" w:eastAsia="Times New Roman" w:hAnsi="Times New Roman"/>
          <w:sz w:val="26"/>
        </w:rPr>
        <w:t xml:space="preserve"> en las apelaciones las defensas llaman </w:t>
      </w:r>
      <w:r>
        <w:rPr>
          <w:rFonts w:ascii="Times New Roman" w:eastAsia="Times New Roman" w:hAnsi="Times New Roman"/>
          <w:sz w:val="26"/>
        </w:rPr>
        <w:t>“ilegal</w:t>
      </w:r>
      <w:r>
        <w:rPr>
          <w:rFonts w:ascii="Times New Roman" w:eastAsia="Times New Roman" w:hAnsi="Times New Roman"/>
          <w:sz w:val="26"/>
        </w:rPr>
        <w:t xml:space="preserve">” o </w:t>
      </w:r>
      <w:r>
        <w:rPr>
          <w:rFonts w:ascii="Times New Roman" w:eastAsia="Times New Roman" w:hAnsi="Times New Roman"/>
          <w:sz w:val="26"/>
        </w:rPr>
        <w:t>“paralelo</w:t>
      </w:r>
      <w:r>
        <w:rPr>
          <w:rFonts w:ascii="Times New Roman" w:eastAsia="Times New Roman" w:hAnsi="Times New Roman"/>
          <w:sz w:val="26"/>
        </w:rPr>
        <w:t xml:space="preserve">” no es otra cosa, en realidad, que el criterio que el hombre común ha aplicado en situaciones de emergencia o inestabilidad económica para asignarle un valor real a las cosas, a sus propiedades, </w:t>
      </w:r>
      <w:r>
        <w:rPr>
          <w:rFonts w:ascii="Times New Roman" w:eastAsia="Times New Roman" w:hAnsi="Times New Roman"/>
          <w:sz w:val="26"/>
        </w:rPr>
        <w:t xml:space="preserve">a sus deudas, a sus proyectos y a sus ingresos, entre tantas otras cosas, por fuera de lo que pretendiera imponer la autoridad de un modo ficticio. No hace falta demostrar nada al respecto. Nuestra propia experiencia nos recuerda cuál era el valor real de </w:t>
      </w:r>
      <w:r>
        <w:rPr>
          <w:rFonts w:ascii="Times New Roman" w:eastAsia="Times New Roman" w:hAnsi="Times New Roman"/>
          <w:sz w:val="26"/>
        </w:rPr>
        <w:t>nuestro peso argentino respecto del dólar, más allá de la voluntad de la autoridad económica de turno. Todos, indefectiblemente, entre septiembre y noviembre de 2015, reconocíamos que el valor del dólar estaba entre $ 14 y $ 15.</w:t>
      </w:r>
    </w:p>
    <w:p w:rsidR="00000000" w:rsidRDefault="008824AB">
      <w:pPr>
        <w:spacing w:line="14" w:lineRule="exact"/>
        <w:rPr>
          <w:rFonts w:ascii="Times New Roman" w:eastAsia="Times New Roman" w:hAnsi="Times New Roman"/>
        </w:rPr>
      </w:pPr>
    </w:p>
    <w:p w:rsidR="00000000" w:rsidRDefault="008824AB">
      <w:pPr>
        <w:spacing w:line="350" w:lineRule="auto"/>
        <w:ind w:right="100" w:firstLine="2837"/>
        <w:rPr>
          <w:rFonts w:ascii="Times New Roman" w:eastAsia="Times New Roman" w:hAnsi="Times New Roman"/>
          <w:sz w:val="26"/>
        </w:rPr>
      </w:pPr>
      <w:r>
        <w:rPr>
          <w:rFonts w:ascii="Times New Roman" w:eastAsia="Times New Roman" w:hAnsi="Times New Roman"/>
          <w:sz w:val="26"/>
        </w:rPr>
        <w:t>Una respuesta distinta, d</w:t>
      </w:r>
      <w:r>
        <w:rPr>
          <w:rFonts w:ascii="Times New Roman" w:eastAsia="Times New Roman" w:hAnsi="Times New Roman"/>
          <w:sz w:val="26"/>
        </w:rPr>
        <w:t>esde mi punto de vista, no puede ser sostenida con buena fe.</w:t>
      </w:r>
    </w:p>
    <w:p w:rsidR="00000000" w:rsidRDefault="008824AB">
      <w:pPr>
        <w:spacing w:line="16" w:lineRule="exact"/>
        <w:rPr>
          <w:rFonts w:ascii="Times New Roman" w:eastAsia="Times New Roman" w:hAnsi="Times New Roman"/>
        </w:rPr>
      </w:pPr>
    </w:p>
    <w:p w:rsidR="00000000" w:rsidRDefault="008824AB">
      <w:pPr>
        <w:spacing w:line="359" w:lineRule="auto"/>
        <w:ind w:right="60" w:firstLine="2837"/>
        <w:rPr>
          <w:rFonts w:ascii="Times New Roman" w:eastAsia="Times New Roman" w:hAnsi="Times New Roman"/>
          <w:sz w:val="26"/>
        </w:rPr>
      </w:pPr>
      <w:r>
        <w:rPr>
          <w:rFonts w:ascii="Times New Roman" w:eastAsia="Times New Roman" w:hAnsi="Times New Roman"/>
          <w:b/>
          <w:sz w:val="26"/>
        </w:rPr>
        <w:t xml:space="preserve">6) </w:t>
      </w:r>
      <w:r>
        <w:rPr>
          <w:rFonts w:ascii="Times New Roman" w:eastAsia="Times New Roman" w:hAnsi="Times New Roman"/>
          <w:sz w:val="26"/>
        </w:rPr>
        <w:t>Para finalizar este punto creo necesario</w:t>
      </w:r>
      <w:r>
        <w:rPr>
          <w:rFonts w:ascii="Times New Roman" w:eastAsia="Times New Roman" w:hAnsi="Times New Roman"/>
          <w:b/>
          <w:sz w:val="26"/>
        </w:rPr>
        <w:t xml:space="preserve"> </w:t>
      </w:r>
      <w:r>
        <w:rPr>
          <w:rFonts w:ascii="Times New Roman" w:eastAsia="Times New Roman" w:hAnsi="Times New Roman"/>
          <w:sz w:val="26"/>
        </w:rPr>
        <w:t>explicitar que, comprobada a mi juicio de un modo claro la infracción a la norma, de la que se derivó un perjuicio concreto al patrimonio público como</w:t>
      </w:r>
      <w:r>
        <w:rPr>
          <w:rFonts w:ascii="Times New Roman" w:eastAsia="Times New Roman" w:hAnsi="Times New Roman"/>
          <w:sz w:val="26"/>
        </w:rPr>
        <w:t xml:space="preserve"> está bien explicado en la resolución de primera instancia y en el voto al que adhiero, solo resta analizar si existe alguna justificación para obrar de ese modo.</w:t>
      </w:r>
    </w:p>
    <w:p w:rsidR="00000000" w:rsidRDefault="008824AB">
      <w:pPr>
        <w:spacing w:line="17" w:lineRule="exact"/>
        <w:rPr>
          <w:rFonts w:ascii="Times New Roman" w:eastAsia="Times New Roman" w:hAnsi="Times New Roman"/>
        </w:rPr>
      </w:pPr>
    </w:p>
    <w:p w:rsidR="00000000" w:rsidRDefault="008824AB">
      <w:pPr>
        <w:spacing w:line="357" w:lineRule="auto"/>
        <w:ind w:right="60" w:firstLine="2837"/>
        <w:rPr>
          <w:rFonts w:ascii="Times New Roman" w:eastAsia="Times New Roman" w:hAnsi="Times New Roman"/>
          <w:sz w:val="26"/>
        </w:rPr>
      </w:pPr>
      <w:r>
        <w:rPr>
          <w:rFonts w:ascii="Times New Roman" w:eastAsia="Times New Roman" w:hAnsi="Times New Roman"/>
          <w:sz w:val="26"/>
        </w:rPr>
        <w:t>Ya he señalado que la propia ley dice que, aun cuando el BCRA haya perseguido o tenido en mi</w:t>
      </w:r>
      <w:r>
        <w:rPr>
          <w:rFonts w:ascii="Times New Roman" w:eastAsia="Times New Roman" w:hAnsi="Times New Roman"/>
          <w:sz w:val="26"/>
        </w:rPr>
        <w:t>ras fines de regulación monetaria, cambiaria, financiera y crediticia cuando decidió vender divisas a futuro, el precio de venta debió ser el de mercado y no el que le dio en las operaciones analizadas, de modo que todo lo que los imputados en sus indagato</w:t>
      </w:r>
      <w:r>
        <w:rPr>
          <w:rFonts w:ascii="Times New Roman" w:eastAsia="Times New Roman" w:hAnsi="Times New Roman"/>
          <w:sz w:val="26"/>
        </w:rPr>
        <w:t>rias o en sus apelaciones señalan sobre dichos</w:t>
      </w:r>
    </w:p>
    <w:p w:rsidR="00000000" w:rsidRDefault="008824AB">
      <w:pPr>
        <w:spacing w:line="357" w:lineRule="auto"/>
        <w:ind w:right="60" w:firstLine="2837"/>
        <w:rPr>
          <w:rFonts w:ascii="Times New Roman" w:eastAsia="Times New Roman" w:hAnsi="Times New Roman"/>
          <w:sz w:val="26"/>
        </w:rPr>
        <w:sectPr w:rsidR="00000000">
          <w:pgSz w:w="11900" w:h="16840"/>
          <w:pgMar w:top="1440" w:right="3080" w:bottom="1440" w:left="1140" w:header="0" w:footer="0" w:gutter="0"/>
          <w:cols w:space="0" w:equalWidth="0">
            <w:col w:w="7680"/>
          </w:cols>
          <w:docGrid w:linePitch="360"/>
        </w:sectPr>
      </w:pPr>
    </w:p>
    <w:p w:rsidR="00000000" w:rsidRDefault="008824AB">
      <w:pPr>
        <w:spacing w:line="0" w:lineRule="atLeast"/>
        <w:ind w:left="440"/>
        <w:rPr>
          <w:sz w:val="24"/>
        </w:rPr>
      </w:pPr>
      <w:bookmarkStart w:id="32" w:name="page33"/>
      <w:bookmarkEnd w:id="32"/>
      <w:r>
        <w:rPr>
          <w:sz w:val="24"/>
        </w:rPr>
        <w:lastRenderedPageBreak/>
        <w:t>Año del Bicentenario de la Declaración de la Independencia Nacional</w:t>
      </w:r>
    </w:p>
    <w:p w:rsidR="00000000" w:rsidRDefault="002D0F24">
      <w:pPr>
        <w:spacing w:line="200" w:lineRule="exact"/>
        <w:rPr>
          <w:rFonts w:ascii="Times New Roman" w:eastAsia="Times New Roman" w:hAnsi="Times New Roman"/>
        </w:rPr>
      </w:pPr>
      <w:r>
        <w:rPr>
          <w:noProof/>
          <w:sz w:val="24"/>
        </w:rPr>
        <w:drawing>
          <wp:anchor distT="0" distB="0" distL="114300" distR="114300" simplePos="0" relativeHeight="251676672" behindDoc="1" locked="0" layoutInCell="0" allowOverlap="1">
            <wp:simplePos x="0" y="0"/>
            <wp:positionH relativeFrom="column">
              <wp:posOffset>2213610</wp:posOffset>
            </wp:positionH>
            <wp:positionV relativeFrom="paragraph">
              <wp:posOffset>50800</wp:posOffset>
            </wp:positionV>
            <wp:extent cx="374650" cy="575945"/>
            <wp:effectExtent l="19050" t="0" r="6350" b="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cstate="print"/>
                    <a:srcRect/>
                    <a:stretch>
                      <a:fillRect/>
                    </a:stretch>
                  </pic:blipFill>
                  <pic:spPr bwMode="auto">
                    <a:xfrm>
                      <a:off x="0" y="0"/>
                      <a:ext cx="374650" cy="575945"/>
                    </a:xfrm>
                    <a:prstGeom prst="rect">
                      <a:avLst/>
                    </a:prstGeom>
                    <a:noFill/>
                  </pic:spPr>
                </pic:pic>
              </a:graphicData>
            </a:graphic>
          </wp:anchor>
        </w:drawing>
      </w: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45" w:lineRule="exact"/>
        <w:rPr>
          <w:rFonts w:ascii="Times New Roman" w:eastAsia="Times New Roman" w:hAnsi="Times New Roman"/>
        </w:rPr>
      </w:pPr>
    </w:p>
    <w:p w:rsidR="00000000" w:rsidRDefault="008824AB">
      <w:pPr>
        <w:spacing w:line="0" w:lineRule="atLeast"/>
        <w:ind w:left="2240"/>
        <w:rPr>
          <w:rFonts w:ascii="Times New Roman" w:eastAsia="Times New Roman" w:hAnsi="Times New Roman"/>
          <w:sz w:val="28"/>
        </w:rPr>
      </w:pPr>
      <w:r>
        <w:rPr>
          <w:rFonts w:ascii="Times New Roman" w:eastAsia="Times New Roman" w:hAnsi="Times New Roman"/>
          <w:sz w:val="28"/>
        </w:rPr>
        <w:t>Poder Judicial de la Nación</w:t>
      </w:r>
    </w:p>
    <w:p w:rsidR="00000000" w:rsidRDefault="008824AB">
      <w:pPr>
        <w:spacing w:line="129" w:lineRule="exact"/>
        <w:rPr>
          <w:rFonts w:ascii="Times New Roman" w:eastAsia="Times New Roman" w:hAnsi="Times New Roman"/>
        </w:rPr>
      </w:pPr>
    </w:p>
    <w:p w:rsidR="00000000" w:rsidRDefault="008824AB">
      <w:pPr>
        <w:spacing w:line="239" w:lineRule="auto"/>
        <w:ind w:left="2680"/>
        <w:rPr>
          <w:rFonts w:ascii="Times New Roman" w:eastAsia="Times New Roman" w:hAnsi="Times New Roman"/>
          <w:sz w:val="18"/>
        </w:rPr>
      </w:pPr>
      <w:r>
        <w:rPr>
          <w:rFonts w:ascii="Times New Roman" w:eastAsia="Times New Roman" w:hAnsi="Times New Roman"/>
          <w:sz w:val="18"/>
        </w:rPr>
        <w:t>CAMARA CRIMINAL Y CORRECCIONAL FEDERAL - SALA 2</w:t>
      </w:r>
    </w:p>
    <w:p w:rsidR="00000000" w:rsidRDefault="008824AB">
      <w:pPr>
        <w:spacing w:line="239" w:lineRule="auto"/>
        <w:ind w:left="5740"/>
        <w:rPr>
          <w:rFonts w:ascii="Times New Roman" w:eastAsia="Times New Roman" w:hAnsi="Times New Roman"/>
          <w:sz w:val="18"/>
        </w:rPr>
      </w:pPr>
      <w:r>
        <w:rPr>
          <w:rFonts w:ascii="Times New Roman" w:eastAsia="Times New Roman" w:hAnsi="Times New Roman"/>
          <w:sz w:val="18"/>
        </w:rPr>
        <w:t>CFP 12152/2015/27/CA5</w:t>
      </w:r>
    </w:p>
    <w:p w:rsidR="00000000" w:rsidRDefault="008824AB">
      <w:pPr>
        <w:spacing w:line="293" w:lineRule="exact"/>
        <w:rPr>
          <w:rFonts w:ascii="Times New Roman" w:eastAsia="Times New Roman" w:hAnsi="Times New Roman"/>
        </w:rPr>
      </w:pPr>
    </w:p>
    <w:p w:rsidR="00000000" w:rsidRDefault="008824AB">
      <w:pPr>
        <w:spacing w:line="348" w:lineRule="auto"/>
        <w:ind w:right="60"/>
        <w:rPr>
          <w:rFonts w:ascii="Times New Roman" w:eastAsia="Times New Roman" w:hAnsi="Times New Roman"/>
          <w:sz w:val="26"/>
        </w:rPr>
      </w:pPr>
      <w:r>
        <w:rPr>
          <w:rFonts w:ascii="Times New Roman" w:eastAsia="Times New Roman" w:hAnsi="Times New Roman"/>
          <w:sz w:val="26"/>
        </w:rPr>
        <w:t>fines perseguidos es superfluo o i</w:t>
      </w:r>
      <w:r>
        <w:rPr>
          <w:rFonts w:ascii="Times New Roman" w:eastAsia="Times New Roman" w:hAnsi="Times New Roman"/>
          <w:sz w:val="26"/>
        </w:rPr>
        <w:t xml:space="preserve">nútil. El BCRA no podía apartarse del </w:t>
      </w:r>
      <w:r>
        <w:rPr>
          <w:rFonts w:ascii="Times New Roman" w:eastAsia="Times New Roman" w:hAnsi="Times New Roman"/>
          <w:sz w:val="26"/>
        </w:rPr>
        <w:t>“precio de mercado</w:t>
      </w:r>
      <w:r>
        <w:rPr>
          <w:rFonts w:ascii="Times New Roman" w:eastAsia="Times New Roman" w:hAnsi="Times New Roman"/>
          <w:sz w:val="26"/>
        </w:rPr>
        <w:t>” aún con esos fines.</w:t>
      </w:r>
    </w:p>
    <w:p w:rsidR="00000000" w:rsidRDefault="008824AB">
      <w:pPr>
        <w:spacing w:line="28" w:lineRule="exact"/>
        <w:rPr>
          <w:rFonts w:ascii="Times New Roman" w:eastAsia="Times New Roman" w:hAnsi="Times New Roman"/>
        </w:rPr>
      </w:pPr>
    </w:p>
    <w:p w:rsidR="00000000" w:rsidRDefault="008824AB">
      <w:pPr>
        <w:spacing w:line="358" w:lineRule="auto"/>
        <w:ind w:firstLine="2837"/>
        <w:rPr>
          <w:rFonts w:ascii="Times New Roman" w:eastAsia="Times New Roman" w:hAnsi="Times New Roman"/>
          <w:sz w:val="26"/>
        </w:rPr>
      </w:pPr>
      <w:r>
        <w:rPr>
          <w:rFonts w:ascii="Times New Roman" w:eastAsia="Times New Roman" w:hAnsi="Times New Roman"/>
          <w:sz w:val="26"/>
        </w:rPr>
        <w:t>Por otro lado, es preciso señalar que, aun cuando se admita que el Estado pueda, en circunstancias extraordinarias, disponer a pérdida o aun gratuitamente de sus bienes para sa</w:t>
      </w:r>
      <w:r>
        <w:rPr>
          <w:rFonts w:ascii="Times New Roman" w:eastAsia="Times New Roman" w:hAnsi="Times New Roman"/>
          <w:sz w:val="26"/>
        </w:rPr>
        <w:t>tisfacer necesidades básicas o impostergables de sus habitantes, este no es el caso: no es el BCRA un organismo destinado a paliar situaciones sociales de emergencia; los compradores de dólares a futuro del caso no fueron, precisamente, habitantes con nece</w:t>
      </w:r>
      <w:r>
        <w:rPr>
          <w:rFonts w:ascii="Times New Roman" w:eastAsia="Times New Roman" w:hAnsi="Times New Roman"/>
          <w:sz w:val="26"/>
        </w:rPr>
        <w:t xml:space="preserve">sidades básicas o impostergables; y no advierto otras razones que expliquen por qué se dio a unos pocos lo que se negaba a muchos a través del </w:t>
      </w:r>
      <w:r>
        <w:rPr>
          <w:rFonts w:ascii="Times New Roman" w:eastAsia="Times New Roman" w:hAnsi="Times New Roman"/>
          <w:sz w:val="26"/>
        </w:rPr>
        <w:t>“cepo</w:t>
      </w:r>
      <w:r>
        <w:rPr>
          <w:rFonts w:ascii="Times New Roman" w:eastAsia="Times New Roman" w:hAnsi="Times New Roman"/>
          <w:sz w:val="26"/>
        </w:rPr>
        <w:t>” cambiario vigente en forma simultánea con la operatoria en análisis.</w:t>
      </w:r>
    </w:p>
    <w:p w:rsidR="00000000" w:rsidRDefault="008824AB">
      <w:pPr>
        <w:spacing w:line="26" w:lineRule="exact"/>
        <w:rPr>
          <w:rFonts w:ascii="Times New Roman" w:eastAsia="Times New Roman" w:hAnsi="Times New Roman"/>
        </w:rPr>
      </w:pPr>
    </w:p>
    <w:p w:rsidR="00000000" w:rsidRDefault="008824AB">
      <w:pPr>
        <w:spacing w:line="355" w:lineRule="auto"/>
        <w:ind w:right="120" w:firstLine="2837"/>
        <w:jc w:val="both"/>
        <w:rPr>
          <w:rFonts w:ascii="Times New Roman" w:eastAsia="Times New Roman" w:hAnsi="Times New Roman"/>
          <w:sz w:val="26"/>
        </w:rPr>
      </w:pPr>
      <w:r>
        <w:rPr>
          <w:rFonts w:ascii="Times New Roman" w:eastAsia="Times New Roman" w:hAnsi="Times New Roman"/>
          <w:sz w:val="26"/>
        </w:rPr>
        <w:t>De modo que no encuentro, de momento</w:t>
      </w:r>
      <w:r>
        <w:rPr>
          <w:rFonts w:ascii="Times New Roman" w:eastAsia="Times New Roman" w:hAnsi="Times New Roman"/>
          <w:sz w:val="26"/>
        </w:rPr>
        <w:t>, con los elementos aportados a la causa, justificación alguna para proceder del modo ya indicado.</w:t>
      </w:r>
    </w:p>
    <w:p w:rsidR="00000000" w:rsidRDefault="008824AB">
      <w:pPr>
        <w:spacing w:line="13" w:lineRule="exact"/>
        <w:rPr>
          <w:rFonts w:ascii="Times New Roman" w:eastAsia="Times New Roman" w:hAnsi="Times New Roman"/>
        </w:rPr>
      </w:pPr>
    </w:p>
    <w:p w:rsidR="00000000" w:rsidRDefault="008824AB">
      <w:pPr>
        <w:spacing w:line="0" w:lineRule="atLeast"/>
        <w:ind w:left="2820"/>
        <w:rPr>
          <w:rFonts w:ascii="Times New Roman" w:eastAsia="Times New Roman" w:hAnsi="Times New Roman"/>
          <w:b/>
          <w:sz w:val="26"/>
        </w:rPr>
      </w:pPr>
      <w:r>
        <w:rPr>
          <w:rFonts w:ascii="Times New Roman" w:eastAsia="Times New Roman" w:hAnsi="Times New Roman"/>
          <w:b/>
          <w:sz w:val="26"/>
        </w:rPr>
        <w:t xml:space="preserve">V.c- </w:t>
      </w:r>
      <w:r>
        <w:rPr>
          <w:rFonts w:ascii="Times New Roman" w:eastAsia="Times New Roman" w:hAnsi="Times New Roman"/>
          <w:b/>
          <w:sz w:val="26"/>
          <w:u w:val="single"/>
        </w:rPr>
        <w:t>Tercero</w:t>
      </w:r>
      <w:r>
        <w:rPr>
          <w:rFonts w:ascii="Times New Roman" w:eastAsia="Times New Roman" w:hAnsi="Times New Roman"/>
          <w:b/>
          <w:sz w:val="26"/>
        </w:rPr>
        <w:t>:</w:t>
      </w:r>
    </w:p>
    <w:p w:rsidR="00000000" w:rsidRDefault="008824AB">
      <w:pPr>
        <w:spacing w:line="155" w:lineRule="exact"/>
        <w:rPr>
          <w:rFonts w:ascii="Times New Roman" w:eastAsia="Times New Roman" w:hAnsi="Times New Roman"/>
        </w:rPr>
      </w:pPr>
    </w:p>
    <w:p w:rsidR="00000000" w:rsidRDefault="008824AB">
      <w:pPr>
        <w:spacing w:line="358" w:lineRule="auto"/>
        <w:ind w:right="60" w:firstLine="2837"/>
        <w:rPr>
          <w:rFonts w:ascii="Times New Roman" w:eastAsia="Times New Roman" w:hAnsi="Times New Roman"/>
          <w:sz w:val="26"/>
        </w:rPr>
      </w:pPr>
      <w:r>
        <w:rPr>
          <w:rFonts w:ascii="Times New Roman" w:eastAsia="Times New Roman" w:hAnsi="Times New Roman"/>
          <w:sz w:val="26"/>
        </w:rPr>
        <w:t xml:space="preserve">El tercero de los agravios expuestos en las apelaciones tiene que ver con el modo como el Juez </w:t>
      </w:r>
      <w:r>
        <w:rPr>
          <w:rFonts w:ascii="Times New Roman" w:eastAsia="Times New Roman" w:hAnsi="Times New Roman"/>
          <w:i/>
          <w:sz w:val="26"/>
        </w:rPr>
        <w:t>a quo</w:t>
      </w:r>
      <w:r>
        <w:rPr>
          <w:rFonts w:ascii="Times New Roman" w:eastAsia="Times New Roman" w:hAnsi="Times New Roman"/>
          <w:sz w:val="26"/>
        </w:rPr>
        <w:t xml:space="preserve"> ha estimado configurado el hecho que rep</w:t>
      </w:r>
      <w:r>
        <w:rPr>
          <w:rFonts w:ascii="Times New Roman" w:eastAsia="Times New Roman" w:hAnsi="Times New Roman"/>
          <w:sz w:val="26"/>
        </w:rPr>
        <w:t>utó constitutivo del delito de administración fraudulenta en los términos del art. 173, inc. 7º, del Código Penal, y con la forma en la que cada uno de los imputados ha tomado participación en él.</w:t>
      </w:r>
    </w:p>
    <w:p w:rsidR="00000000" w:rsidRDefault="008824AB">
      <w:pPr>
        <w:spacing w:line="5" w:lineRule="exact"/>
        <w:rPr>
          <w:rFonts w:ascii="Times New Roman" w:eastAsia="Times New Roman" w:hAnsi="Times New Roman"/>
        </w:rPr>
      </w:pPr>
    </w:p>
    <w:p w:rsidR="00000000" w:rsidRDefault="008824AB">
      <w:pPr>
        <w:spacing w:line="359" w:lineRule="auto"/>
        <w:ind w:right="40" w:firstLine="2837"/>
        <w:rPr>
          <w:rFonts w:ascii="Times New Roman" w:eastAsia="Times New Roman" w:hAnsi="Times New Roman"/>
          <w:sz w:val="26"/>
        </w:rPr>
      </w:pPr>
      <w:r>
        <w:rPr>
          <w:rFonts w:ascii="Times New Roman" w:eastAsia="Times New Roman" w:hAnsi="Times New Roman"/>
          <w:b/>
          <w:sz w:val="26"/>
        </w:rPr>
        <w:t xml:space="preserve">1) </w:t>
      </w:r>
      <w:r>
        <w:rPr>
          <w:rFonts w:ascii="Times New Roman" w:eastAsia="Times New Roman" w:hAnsi="Times New Roman"/>
          <w:sz w:val="26"/>
        </w:rPr>
        <w:t>Me remito, en primer término, a los</w:t>
      </w:r>
      <w:r>
        <w:rPr>
          <w:rFonts w:ascii="Times New Roman" w:eastAsia="Times New Roman" w:hAnsi="Times New Roman"/>
          <w:b/>
          <w:sz w:val="26"/>
        </w:rPr>
        <w:t xml:space="preserve"> </w:t>
      </w:r>
      <w:r>
        <w:rPr>
          <w:rFonts w:ascii="Times New Roman" w:eastAsia="Times New Roman" w:hAnsi="Times New Roman"/>
          <w:sz w:val="26"/>
        </w:rPr>
        <w:t>argumentos expuesto</w:t>
      </w:r>
      <w:r>
        <w:rPr>
          <w:rFonts w:ascii="Times New Roman" w:eastAsia="Times New Roman" w:hAnsi="Times New Roman"/>
          <w:sz w:val="26"/>
        </w:rPr>
        <w:t>s en el voto precedente en lo que atañe tanto a la modalidad comisiva del delito (haber obligado abusivamente al BCRA frente a terceros mediante la violación de un expreso deber legal), cuanto a lo expresado en punto a la finalidad perseguida por sus autor</w:t>
      </w:r>
      <w:r>
        <w:rPr>
          <w:rFonts w:ascii="Times New Roman" w:eastAsia="Times New Roman" w:hAnsi="Times New Roman"/>
          <w:sz w:val="26"/>
        </w:rPr>
        <w:t>es,</w:t>
      </w:r>
    </w:p>
    <w:p w:rsidR="00000000" w:rsidRDefault="008824AB">
      <w:pPr>
        <w:spacing w:line="359" w:lineRule="auto"/>
        <w:ind w:right="40" w:firstLine="2837"/>
        <w:rPr>
          <w:rFonts w:ascii="Times New Roman" w:eastAsia="Times New Roman" w:hAnsi="Times New Roman"/>
          <w:sz w:val="26"/>
        </w:rPr>
        <w:sectPr w:rsidR="00000000">
          <w:pgSz w:w="11900" w:h="16840"/>
          <w:pgMar w:top="373" w:right="1020" w:bottom="1440" w:left="3200" w:header="0" w:footer="0" w:gutter="0"/>
          <w:cols w:space="0" w:equalWidth="0">
            <w:col w:w="7680"/>
          </w:cols>
          <w:docGrid w:linePitch="360"/>
        </w:sectPr>
      </w:pPr>
    </w:p>
    <w:p w:rsidR="00000000" w:rsidRDefault="008824AB">
      <w:pPr>
        <w:spacing w:line="200" w:lineRule="exact"/>
        <w:rPr>
          <w:rFonts w:ascii="Times New Roman" w:eastAsia="Times New Roman" w:hAnsi="Times New Roman"/>
        </w:rPr>
      </w:pPr>
      <w:bookmarkStart w:id="33" w:name="page34"/>
      <w:bookmarkEnd w:id="33"/>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27" w:lineRule="exact"/>
        <w:rPr>
          <w:rFonts w:ascii="Times New Roman" w:eastAsia="Times New Roman" w:hAnsi="Times New Roman"/>
        </w:rPr>
      </w:pPr>
    </w:p>
    <w:p w:rsidR="00000000" w:rsidRDefault="008824AB">
      <w:pPr>
        <w:spacing w:line="354" w:lineRule="auto"/>
        <w:ind w:right="180"/>
        <w:jc w:val="both"/>
        <w:rPr>
          <w:rFonts w:ascii="Times New Roman" w:eastAsia="Times New Roman" w:hAnsi="Times New Roman"/>
          <w:sz w:val="26"/>
        </w:rPr>
      </w:pPr>
      <w:r>
        <w:rPr>
          <w:rFonts w:ascii="Times New Roman" w:eastAsia="Times New Roman" w:hAnsi="Times New Roman"/>
          <w:sz w:val="26"/>
        </w:rPr>
        <w:t>dada la representación inequívoca del resultado dañoso que estos necesariamente tuvieron y la voluntad demostrada de llevar adelante la operatoria pese a las objeciones que ella ofrecía.</w:t>
      </w:r>
    </w:p>
    <w:p w:rsidR="00000000" w:rsidRDefault="008824AB">
      <w:pPr>
        <w:spacing w:line="21" w:lineRule="exact"/>
        <w:rPr>
          <w:rFonts w:ascii="Times New Roman" w:eastAsia="Times New Roman" w:hAnsi="Times New Roman"/>
        </w:rPr>
      </w:pPr>
    </w:p>
    <w:p w:rsidR="00000000" w:rsidRDefault="008824AB">
      <w:pPr>
        <w:spacing w:line="358" w:lineRule="auto"/>
        <w:ind w:right="140" w:firstLine="2837"/>
        <w:rPr>
          <w:rFonts w:ascii="Times New Roman" w:eastAsia="Times New Roman" w:hAnsi="Times New Roman"/>
          <w:sz w:val="26"/>
        </w:rPr>
      </w:pPr>
      <w:r>
        <w:rPr>
          <w:rFonts w:ascii="Times New Roman" w:eastAsia="Times New Roman" w:hAnsi="Times New Roman"/>
          <w:sz w:val="26"/>
        </w:rPr>
        <w:t>Dadas las características de la operatoria a futuro y l</w:t>
      </w:r>
      <w:r>
        <w:rPr>
          <w:rFonts w:ascii="Times New Roman" w:eastAsia="Times New Roman" w:hAnsi="Times New Roman"/>
          <w:sz w:val="26"/>
        </w:rPr>
        <w:t>a reglamentación que rige la mecánica y efectos de los actos cumplidos tanto para el BCRA cuanto para los adquirentes, el perjuicio a la propiedad quedó consumado en cada caso con la celebración de cada contrato, lo que torna irrelevantes a los fines del d</w:t>
      </w:r>
      <w:r>
        <w:rPr>
          <w:rFonts w:ascii="Times New Roman" w:eastAsia="Times New Roman" w:hAnsi="Times New Roman"/>
          <w:sz w:val="26"/>
        </w:rPr>
        <w:t>elito imputado, las consideraciones formuladas por los apelantes acerca de las decisiones económicas adoptadas posteriormente por las autoridades que asumieron el 10 de diciembre de 2015. En ese sentido se ha dicho que</w:t>
      </w:r>
    </w:p>
    <w:p w:rsidR="00000000" w:rsidRDefault="008824AB">
      <w:pPr>
        <w:spacing w:line="24" w:lineRule="exact"/>
        <w:rPr>
          <w:rFonts w:ascii="Times New Roman" w:eastAsia="Times New Roman" w:hAnsi="Times New Roman"/>
        </w:rPr>
      </w:pPr>
    </w:p>
    <w:p w:rsidR="00000000" w:rsidRDefault="008824AB">
      <w:pPr>
        <w:spacing w:line="356" w:lineRule="auto"/>
        <w:ind w:right="180"/>
        <w:rPr>
          <w:rFonts w:ascii="Times New Roman" w:eastAsia="Times New Roman" w:hAnsi="Times New Roman"/>
          <w:i/>
          <w:sz w:val="26"/>
        </w:rPr>
      </w:pPr>
      <w:r>
        <w:rPr>
          <w:rFonts w:ascii="Times New Roman" w:eastAsia="Times New Roman" w:hAnsi="Times New Roman"/>
          <w:i/>
          <w:sz w:val="26"/>
        </w:rPr>
        <w:t>“aquí la consumación no recaba el pe</w:t>
      </w:r>
      <w:r>
        <w:rPr>
          <w:rFonts w:ascii="Times New Roman" w:eastAsia="Times New Roman" w:hAnsi="Times New Roman"/>
          <w:i/>
          <w:sz w:val="26"/>
        </w:rPr>
        <w:t>rjuicio efectivo por medio de la atención de la obligación a cargo del patrimonio: basta con que se lo haya `obligado`, es decir, con que se haya hecho nacer la posibilidad del perjuicio que puede materializarse en el correspondiente pago</w:t>
      </w:r>
      <w:r>
        <w:rPr>
          <w:rFonts w:ascii="Times New Roman" w:eastAsia="Times New Roman" w:hAnsi="Times New Roman"/>
          <w:i/>
          <w:sz w:val="26"/>
        </w:rPr>
        <w:t>”</w:t>
      </w:r>
    </w:p>
    <w:p w:rsidR="00000000" w:rsidRDefault="008824AB">
      <w:pPr>
        <w:spacing w:line="15" w:lineRule="exact"/>
        <w:rPr>
          <w:rFonts w:ascii="Times New Roman" w:eastAsia="Times New Roman" w:hAnsi="Times New Roman"/>
        </w:rPr>
      </w:pPr>
    </w:p>
    <w:p w:rsidR="00000000" w:rsidRDefault="008824AB">
      <w:pPr>
        <w:spacing w:line="350" w:lineRule="auto"/>
        <w:ind w:right="180"/>
        <w:rPr>
          <w:rFonts w:ascii="Times New Roman" w:eastAsia="Times New Roman" w:hAnsi="Times New Roman"/>
          <w:sz w:val="26"/>
        </w:rPr>
      </w:pPr>
      <w:r>
        <w:rPr>
          <w:rFonts w:ascii="Times New Roman" w:eastAsia="Times New Roman" w:hAnsi="Times New Roman"/>
          <w:sz w:val="26"/>
        </w:rPr>
        <w:t>(conf. Carlos C</w:t>
      </w:r>
      <w:r>
        <w:rPr>
          <w:rFonts w:ascii="Times New Roman" w:eastAsia="Times New Roman" w:hAnsi="Times New Roman"/>
          <w:sz w:val="26"/>
        </w:rPr>
        <w:t>reus, Derecho Penal, Parte Especial, ed. Astrea, 1988, Parte Especial, Tomo I, página 520).</w:t>
      </w:r>
    </w:p>
    <w:p w:rsidR="00000000" w:rsidRDefault="008824AB">
      <w:pPr>
        <w:spacing w:line="26" w:lineRule="exact"/>
        <w:rPr>
          <w:rFonts w:ascii="Times New Roman" w:eastAsia="Times New Roman" w:hAnsi="Times New Roman"/>
        </w:rPr>
      </w:pPr>
    </w:p>
    <w:p w:rsidR="00000000" w:rsidRDefault="008824AB">
      <w:pPr>
        <w:spacing w:line="358" w:lineRule="auto"/>
        <w:ind w:firstLine="2837"/>
        <w:rPr>
          <w:rFonts w:ascii="Times New Roman" w:eastAsia="Times New Roman" w:hAnsi="Times New Roman"/>
          <w:sz w:val="26"/>
        </w:rPr>
      </w:pPr>
      <w:r>
        <w:rPr>
          <w:rFonts w:ascii="Times New Roman" w:eastAsia="Times New Roman" w:hAnsi="Times New Roman"/>
          <w:sz w:val="26"/>
        </w:rPr>
        <w:t>Se debe señalar, asimismo, que la diversidad de contratos celebrados en el período comprendido entre septiembre y noviembre de 2015 no multiplica por ello el delit</w:t>
      </w:r>
      <w:r>
        <w:rPr>
          <w:rFonts w:ascii="Times New Roman" w:eastAsia="Times New Roman" w:hAnsi="Times New Roman"/>
          <w:sz w:val="26"/>
        </w:rPr>
        <w:t xml:space="preserve">o en función del art. 55 del CP, que es el de una única administración fraudulenta en los términos del precedente </w:t>
      </w:r>
      <w:r>
        <w:rPr>
          <w:rFonts w:ascii="Times New Roman" w:eastAsia="Times New Roman" w:hAnsi="Times New Roman"/>
          <w:sz w:val="26"/>
        </w:rPr>
        <w:t>“Pompas</w:t>
      </w:r>
      <w:r>
        <w:rPr>
          <w:rFonts w:ascii="Times New Roman" w:eastAsia="Times New Roman" w:hAnsi="Times New Roman"/>
          <w:sz w:val="26"/>
        </w:rPr>
        <w:t xml:space="preserve">” de la C.S.J.N (Fallos, 325:3255). Y también que, como consecuencia de que el art. 1 de la Carta Orgánica del BCRA dispone que </w:t>
      </w:r>
      <w:r>
        <w:rPr>
          <w:rFonts w:ascii="Times New Roman" w:eastAsia="Times New Roman" w:hAnsi="Times New Roman"/>
          <w:sz w:val="26"/>
        </w:rPr>
        <w:t>“El Est</w:t>
      </w:r>
      <w:r>
        <w:rPr>
          <w:rFonts w:ascii="Times New Roman" w:eastAsia="Times New Roman" w:hAnsi="Times New Roman"/>
          <w:sz w:val="26"/>
        </w:rPr>
        <w:t>ado nacional garantiza las obligaciones asumidas por el banco</w:t>
      </w:r>
      <w:r>
        <w:rPr>
          <w:rFonts w:ascii="Times New Roman" w:eastAsia="Times New Roman" w:hAnsi="Times New Roman"/>
          <w:sz w:val="26"/>
        </w:rPr>
        <w:t>”, está correctamente aplicado el agravante previsto en el art. 174, inc. 5, del Código Penal referido a los fraudes cometidos en perjuicio de la administración pública.</w:t>
      </w:r>
    </w:p>
    <w:p w:rsidR="00000000" w:rsidRDefault="008824AB">
      <w:pPr>
        <w:spacing w:line="358" w:lineRule="auto"/>
        <w:ind w:firstLine="2837"/>
        <w:rPr>
          <w:rFonts w:ascii="Times New Roman" w:eastAsia="Times New Roman" w:hAnsi="Times New Roman"/>
          <w:sz w:val="26"/>
        </w:rPr>
        <w:sectPr w:rsidR="00000000">
          <w:pgSz w:w="11900" w:h="16840"/>
          <w:pgMar w:top="1440" w:right="3000" w:bottom="1440" w:left="1140" w:header="0" w:footer="0" w:gutter="0"/>
          <w:cols w:space="0" w:equalWidth="0">
            <w:col w:w="7760"/>
          </w:cols>
          <w:docGrid w:linePitch="360"/>
        </w:sectPr>
      </w:pPr>
    </w:p>
    <w:p w:rsidR="00000000" w:rsidRDefault="008824AB">
      <w:pPr>
        <w:spacing w:line="0" w:lineRule="atLeast"/>
        <w:ind w:left="440"/>
        <w:rPr>
          <w:sz w:val="24"/>
        </w:rPr>
      </w:pPr>
      <w:bookmarkStart w:id="34" w:name="page35"/>
      <w:bookmarkEnd w:id="34"/>
      <w:r>
        <w:rPr>
          <w:sz w:val="24"/>
        </w:rPr>
        <w:lastRenderedPageBreak/>
        <w:t xml:space="preserve">Año del Bicentenario de </w:t>
      </w:r>
      <w:r>
        <w:rPr>
          <w:sz w:val="24"/>
        </w:rPr>
        <w:t>la Declaración de la Independencia Nacional</w:t>
      </w:r>
    </w:p>
    <w:p w:rsidR="00000000" w:rsidRDefault="002D0F24">
      <w:pPr>
        <w:spacing w:line="200" w:lineRule="exact"/>
        <w:rPr>
          <w:rFonts w:ascii="Times New Roman" w:eastAsia="Times New Roman" w:hAnsi="Times New Roman"/>
        </w:rPr>
      </w:pPr>
      <w:r>
        <w:rPr>
          <w:noProof/>
          <w:sz w:val="24"/>
        </w:rPr>
        <w:drawing>
          <wp:anchor distT="0" distB="0" distL="114300" distR="114300" simplePos="0" relativeHeight="251679744" behindDoc="1" locked="0" layoutInCell="0" allowOverlap="1">
            <wp:simplePos x="0" y="0"/>
            <wp:positionH relativeFrom="column">
              <wp:posOffset>2213610</wp:posOffset>
            </wp:positionH>
            <wp:positionV relativeFrom="paragraph">
              <wp:posOffset>50800</wp:posOffset>
            </wp:positionV>
            <wp:extent cx="374650" cy="575945"/>
            <wp:effectExtent l="19050" t="0" r="635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cstate="print"/>
                    <a:srcRect/>
                    <a:stretch>
                      <a:fillRect/>
                    </a:stretch>
                  </pic:blipFill>
                  <pic:spPr bwMode="auto">
                    <a:xfrm>
                      <a:off x="0" y="0"/>
                      <a:ext cx="374650" cy="575945"/>
                    </a:xfrm>
                    <a:prstGeom prst="rect">
                      <a:avLst/>
                    </a:prstGeom>
                    <a:noFill/>
                  </pic:spPr>
                </pic:pic>
              </a:graphicData>
            </a:graphic>
          </wp:anchor>
        </w:drawing>
      </w: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45" w:lineRule="exact"/>
        <w:rPr>
          <w:rFonts w:ascii="Times New Roman" w:eastAsia="Times New Roman" w:hAnsi="Times New Roman"/>
        </w:rPr>
      </w:pPr>
    </w:p>
    <w:p w:rsidR="00000000" w:rsidRDefault="008824AB">
      <w:pPr>
        <w:spacing w:line="0" w:lineRule="atLeast"/>
        <w:ind w:left="2240"/>
        <w:rPr>
          <w:rFonts w:ascii="Times New Roman" w:eastAsia="Times New Roman" w:hAnsi="Times New Roman"/>
          <w:sz w:val="28"/>
        </w:rPr>
      </w:pPr>
      <w:r>
        <w:rPr>
          <w:rFonts w:ascii="Times New Roman" w:eastAsia="Times New Roman" w:hAnsi="Times New Roman"/>
          <w:sz w:val="28"/>
        </w:rPr>
        <w:t>Poder Judicial de la Nación</w:t>
      </w:r>
    </w:p>
    <w:p w:rsidR="00000000" w:rsidRDefault="008824AB">
      <w:pPr>
        <w:spacing w:line="129" w:lineRule="exact"/>
        <w:rPr>
          <w:rFonts w:ascii="Times New Roman" w:eastAsia="Times New Roman" w:hAnsi="Times New Roman"/>
        </w:rPr>
      </w:pPr>
    </w:p>
    <w:p w:rsidR="00000000" w:rsidRDefault="008824AB">
      <w:pPr>
        <w:spacing w:line="239" w:lineRule="auto"/>
        <w:ind w:left="2680"/>
        <w:rPr>
          <w:rFonts w:ascii="Times New Roman" w:eastAsia="Times New Roman" w:hAnsi="Times New Roman"/>
          <w:sz w:val="18"/>
        </w:rPr>
      </w:pPr>
      <w:r>
        <w:rPr>
          <w:rFonts w:ascii="Times New Roman" w:eastAsia="Times New Roman" w:hAnsi="Times New Roman"/>
          <w:sz w:val="18"/>
        </w:rPr>
        <w:t>CAMARA CRIMINAL Y CORRECCIONAL FEDERAL - SALA 2</w:t>
      </w:r>
    </w:p>
    <w:p w:rsidR="00000000" w:rsidRDefault="008824AB">
      <w:pPr>
        <w:spacing w:line="239" w:lineRule="auto"/>
        <w:ind w:left="5740"/>
        <w:rPr>
          <w:rFonts w:ascii="Times New Roman" w:eastAsia="Times New Roman" w:hAnsi="Times New Roman"/>
          <w:sz w:val="18"/>
        </w:rPr>
      </w:pPr>
      <w:r>
        <w:rPr>
          <w:rFonts w:ascii="Times New Roman" w:eastAsia="Times New Roman" w:hAnsi="Times New Roman"/>
          <w:sz w:val="18"/>
        </w:rPr>
        <w:t>CFP 12152/2015/27/CA5</w:t>
      </w:r>
    </w:p>
    <w:p w:rsidR="00000000" w:rsidRDefault="008824AB">
      <w:pPr>
        <w:spacing w:line="283" w:lineRule="exact"/>
        <w:rPr>
          <w:rFonts w:ascii="Times New Roman" w:eastAsia="Times New Roman" w:hAnsi="Times New Roman"/>
        </w:rPr>
      </w:pPr>
    </w:p>
    <w:p w:rsidR="00000000" w:rsidRDefault="008824AB">
      <w:pPr>
        <w:spacing w:line="359" w:lineRule="auto"/>
        <w:ind w:right="40" w:firstLine="2837"/>
        <w:rPr>
          <w:rFonts w:ascii="Times New Roman" w:eastAsia="Times New Roman" w:hAnsi="Times New Roman"/>
          <w:sz w:val="26"/>
        </w:rPr>
      </w:pPr>
      <w:r>
        <w:rPr>
          <w:rFonts w:ascii="Times New Roman" w:eastAsia="Times New Roman" w:hAnsi="Times New Roman"/>
          <w:b/>
          <w:sz w:val="26"/>
        </w:rPr>
        <w:t xml:space="preserve">2) </w:t>
      </w:r>
      <w:r>
        <w:rPr>
          <w:rFonts w:ascii="Times New Roman" w:eastAsia="Times New Roman" w:hAnsi="Times New Roman"/>
          <w:sz w:val="26"/>
        </w:rPr>
        <w:t>También adhiero a los argumentos</w:t>
      </w:r>
      <w:r>
        <w:rPr>
          <w:rFonts w:ascii="Times New Roman" w:eastAsia="Times New Roman" w:hAnsi="Times New Roman"/>
          <w:b/>
          <w:sz w:val="26"/>
        </w:rPr>
        <w:t xml:space="preserve"> </w:t>
      </w:r>
      <w:r>
        <w:rPr>
          <w:rFonts w:ascii="Times New Roman" w:eastAsia="Times New Roman" w:hAnsi="Times New Roman"/>
          <w:sz w:val="26"/>
        </w:rPr>
        <w:t xml:space="preserve">expuestos en el voto precedente para fundar la responsabilidad que </w:t>
      </w:r>
      <w:r>
        <w:rPr>
          <w:rFonts w:ascii="Times New Roman" w:eastAsia="Times New Roman" w:hAnsi="Times New Roman"/>
          <w:sz w:val="26"/>
        </w:rPr>
        <w:t>“pr</w:t>
      </w:r>
      <w:r>
        <w:rPr>
          <w:rFonts w:ascii="Times New Roman" w:eastAsia="Times New Roman" w:hAnsi="Times New Roman"/>
          <w:sz w:val="26"/>
        </w:rPr>
        <w:t>ima facie</w:t>
      </w:r>
      <w:r>
        <w:rPr>
          <w:rFonts w:ascii="Times New Roman" w:eastAsia="Times New Roman" w:hAnsi="Times New Roman"/>
          <w:sz w:val="26"/>
        </w:rPr>
        <w:t>” corresponde asignar al Presidente y Directores del BCRA (coautores del delito en tanto, como administradores de los fondos del organismo, tomaron parte en la ejecución del hecho -art. 45 del Código Penal- mediante la normativa e instrucciones pr</w:t>
      </w:r>
      <w:r>
        <w:rPr>
          <w:rFonts w:ascii="Times New Roman" w:eastAsia="Times New Roman" w:hAnsi="Times New Roman"/>
          <w:sz w:val="26"/>
        </w:rPr>
        <w:t>ecisas emitidas para las ventas de dólares a futuro) y la de los Directores de la Comisión Nacional de Valores (como partícipes necesarios en tanto brindaron, a través de su directa intervención y la disposiciones dictadas por el organismo, una cooperación</w:t>
      </w:r>
      <w:r>
        <w:rPr>
          <w:rFonts w:ascii="Times New Roman" w:eastAsia="Times New Roman" w:hAnsi="Times New Roman"/>
          <w:sz w:val="26"/>
        </w:rPr>
        <w:t xml:space="preserve"> sin la cual el hecho no pudo haberse cometido -art. 45 del Código Penal-).</w:t>
      </w:r>
    </w:p>
    <w:p w:rsidR="00000000" w:rsidRDefault="008824AB">
      <w:pPr>
        <w:spacing w:line="23" w:lineRule="exact"/>
        <w:rPr>
          <w:rFonts w:ascii="Times New Roman" w:eastAsia="Times New Roman" w:hAnsi="Times New Roman"/>
        </w:rPr>
      </w:pPr>
    </w:p>
    <w:p w:rsidR="00000000" w:rsidRDefault="008824AB">
      <w:pPr>
        <w:spacing w:line="355" w:lineRule="auto"/>
        <w:ind w:right="60" w:firstLine="2837"/>
        <w:jc w:val="both"/>
        <w:rPr>
          <w:rFonts w:ascii="Times New Roman" w:eastAsia="Times New Roman" w:hAnsi="Times New Roman"/>
          <w:sz w:val="26"/>
        </w:rPr>
      </w:pPr>
      <w:r>
        <w:rPr>
          <w:rFonts w:ascii="Times New Roman" w:eastAsia="Times New Roman" w:hAnsi="Times New Roman"/>
          <w:sz w:val="26"/>
        </w:rPr>
        <w:t>Párrafo aparte merece la situación del entonces Ministro de Economía Axel Kicillof y de la ex Presidente de la Nación, Cristina Fernández de Kirchner.</w:t>
      </w:r>
    </w:p>
    <w:p w:rsidR="00000000" w:rsidRDefault="008824AB">
      <w:pPr>
        <w:spacing w:line="20" w:lineRule="exact"/>
        <w:rPr>
          <w:rFonts w:ascii="Times New Roman" w:eastAsia="Times New Roman" w:hAnsi="Times New Roman"/>
        </w:rPr>
      </w:pPr>
    </w:p>
    <w:p w:rsidR="00000000" w:rsidRDefault="008824AB">
      <w:pPr>
        <w:spacing w:line="359" w:lineRule="auto"/>
        <w:ind w:firstLine="2837"/>
        <w:rPr>
          <w:rFonts w:ascii="Times New Roman" w:eastAsia="Times New Roman" w:hAnsi="Times New Roman"/>
          <w:sz w:val="26"/>
        </w:rPr>
      </w:pPr>
      <w:r>
        <w:rPr>
          <w:rFonts w:ascii="Times New Roman" w:eastAsia="Times New Roman" w:hAnsi="Times New Roman"/>
          <w:sz w:val="26"/>
        </w:rPr>
        <w:t>Una primera cuestión a con</w:t>
      </w:r>
      <w:r>
        <w:rPr>
          <w:rFonts w:ascii="Times New Roman" w:eastAsia="Times New Roman" w:hAnsi="Times New Roman"/>
          <w:sz w:val="26"/>
        </w:rPr>
        <w:t xml:space="preserve">siderar radica en las previsiones formales de la Carta Orgánica del BCRA. Es cierto, como afirman insistentemente sus defensas, que la norma confiere al organismo el carácter de una </w:t>
      </w:r>
      <w:r>
        <w:rPr>
          <w:rFonts w:ascii="Times New Roman" w:eastAsia="Times New Roman" w:hAnsi="Times New Roman"/>
          <w:sz w:val="26"/>
        </w:rPr>
        <w:t>“entidad autárquica</w:t>
      </w:r>
      <w:r>
        <w:rPr>
          <w:rFonts w:ascii="Times New Roman" w:eastAsia="Times New Roman" w:hAnsi="Times New Roman"/>
          <w:sz w:val="26"/>
        </w:rPr>
        <w:t xml:space="preserve">” y dispone que </w:t>
      </w:r>
      <w:r>
        <w:rPr>
          <w:rFonts w:ascii="Times New Roman" w:eastAsia="Times New Roman" w:hAnsi="Times New Roman"/>
          <w:sz w:val="26"/>
        </w:rPr>
        <w:t>“en el ejercicio de sus funciones y fac</w:t>
      </w:r>
      <w:r>
        <w:rPr>
          <w:rFonts w:ascii="Times New Roman" w:eastAsia="Times New Roman" w:hAnsi="Times New Roman"/>
          <w:sz w:val="26"/>
        </w:rPr>
        <w:t>ultades el Banco no estará sujeto a órdenes, indicaciones o instrucciones del Poder Ejecutivo Nacional</w:t>
      </w:r>
      <w:r>
        <w:rPr>
          <w:rFonts w:ascii="Times New Roman" w:eastAsia="Times New Roman" w:hAnsi="Times New Roman"/>
          <w:sz w:val="26"/>
        </w:rPr>
        <w:t xml:space="preserve">” (arts. 1 y 4 </w:t>
      </w:r>
      <w:r>
        <w:rPr>
          <w:rFonts w:ascii="Times New Roman" w:eastAsia="Times New Roman" w:hAnsi="Times New Roman"/>
          <w:sz w:val="26"/>
        </w:rPr>
        <w:t xml:space="preserve">“in fine). Pero también hay otra realidad: la misma ley establece que el banco deberá actuar </w:t>
      </w:r>
      <w:r>
        <w:rPr>
          <w:rFonts w:ascii="Times New Roman" w:eastAsia="Times New Roman" w:hAnsi="Times New Roman"/>
          <w:sz w:val="26"/>
        </w:rPr>
        <w:t>“en el marco de las políticas establecidas por</w:t>
      </w:r>
      <w:r>
        <w:rPr>
          <w:rFonts w:ascii="Times New Roman" w:eastAsia="Times New Roman" w:hAnsi="Times New Roman"/>
          <w:sz w:val="26"/>
        </w:rPr>
        <w:t xml:space="preserve"> el gobierno nacional</w:t>
      </w:r>
      <w:r>
        <w:rPr>
          <w:rFonts w:ascii="Times New Roman" w:eastAsia="Times New Roman" w:hAnsi="Times New Roman"/>
          <w:sz w:val="26"/>
        </w:rPr>
        <w:t>” (art. 3). Frente a ello, es notorio que la operatoria que se ha descripto en esta pieza no fue una más en la práctica diaria del organismo; se trató de una decisión que comprometió extraordinarias sumas de dinero del Estado y que res</w:t>
      </w:r>
      <w:r>
        <w:rPr>
          <w:rFonts w:ascii="Times New Roman" w:eastAsia="Times New Roman" w:hAnsi="Times New Roman"/>
          <w:sz w:val="26"/>
        </w:rPr>
        <w:t>pondió -por fuerza de las evidencias lo digo- a una línea que, desde antes, venían</w:t>
      </w:r>
    </w:p>
    <w:p w:rsidR="00000000" w:rsidRDefault="008824AB">
      <w:pPr>
        <w:spacing w:line="359" w:lineRule="auto"/>
        <w:ind w:firstLine="2837"/>
        <w:rPr>
          <w:rFonts w:ascii="Times New Roman" w:eastAsia="Times New Roman" w:hAnsi="Times New Roman"/>
          <w:sz w:val="26"/>
        </w:rPr>
        <w:sectPr w:rsidR="00000000">
          <w:pgSz w:w="11900" w:h="16840"/>
          <w:pgMar w:top="373" w:right="1020" w:bottom="1440" w:left="3200" w:header="0" w:footer="0" w:gutter="0"/>
          <w:cols w:space="0" w:equalWidth="0">
            <w:col w:w="7680"/>
          </w:cols>
          <w:docGrid w:linePitch="360"/>
        </w:sectPr>
      </w:pPr>
    </w:p>
    <w:p w:rsidR="00000000" w:rsidRDefault="008824AB">
      <w:pPr>
        <w:spacing w:line="200" w:lineRule="exact"/>
        <w:rPr>
          <w:rFonts w:ascii="Times New Roman" w:eastAsia="Times New Roman" w:hAnsi="Times New Roman"/>
        </w:rPr>
      </w:pPr>
      <w:bookmarkStart w:id="35" w:name="page36"/>
      <w:bookmarkEnd w:id="35"/>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27" w:lineRule="exact"/>
        <w:rPr>
          <w:rFonts w:ascii="Times New Roman" w:eastAsia="Times New Roman" w:hAnsi="Times New Roman"/>
        </w:rPr>
      </w:pPr>
    </w:p>
    <w:p w:rsidR="00000000" w:rsidRDefault="008824AB">
      <w:pPr>
        <w:spacing w:line="358" w:lineRule="auto"/>
        <w:rPr>
          <w:rFonts w:ascii="Times New Roman" w:eastAsia="Times New Roman" w:hAnsi="Times New Roman"/>
          <w:sz w:val="26"/>
        </w:rPr>
      </w:pPr>
      <w:r>
        <w:rPr>
          <w:rFonts w:ascii="Times New Roman" w:eastAsia="Times New Roman" w:hAnsi="Times New Roman"/>
          <w:sz w:val="26"/>
        </w:rPr>
        <w:t>imponiendo las máximas autoridades del Poder Ejecutivo sobre todo aquellas dirigidas a contener el alza de la divisa norteamericana. Si es seguro -como lo es- que Fe</w:t>
      </w:r>
      <w:r>
        <w:rPr>
          <w:rFonts w:ascii="Times New Roman" w:eastAsia="Times New Roman" w:hAnsi="Times New Roman"/>
          <w:sz w:val="26"/>
        </w:rPr>
        <w:t>rnández de Kirchner y Kicillof conocieron, con relación de inmediatez, la puesta en marcha y las consecuencias que tendría la maniobra, entonces, por pura lógica, resulta razonable concluir que aquella respondió a una indicación previa de su parte, como di</w:t>
      </w:r>
      <w:r>
        <w:rPr>
          <w:rFonts w:ascii="Times New Roman" w:eastAsia="Times New Roman" w:hAnsi="Times New Roman"/>
          <w:sz w:val="26"/>
        </w:rPr>
        <w:t>ce expresamente el Dr. Irurzun en su voto.</w:t>
      </w:r>
    </w:p>
    <w:p w:rsidR="00000000" w:rsidRDefault="008824AB">
      <w:pPr>
        <w:spacing w:line="17" w:lineRule="exact"/>
        <w:rPr>
          <w:rFonts w:ascii="Times New Roman" w:eastAsia="Times New Roman" w:hAnsi="Times New Roman"/>
        </w:rPr>
      </w:pPr>
    </w:p>
    <w:p w:rsidR="00000000" w:rsidRDefault="008824AB">
      <w:pPr>
        <w:spacing w:line="356" w:lineRule="auto"/>
        <w:ind w:right="60" w:firstLine="2837"/>
        <w:jc w:val="both"/>
        <w:rPr>
          <w:rFonts w:ascii="Times New Roman" w:eastAsia="Times New Roman" w:hAnsi="Times New Roman"/>
          <w:sz w:val="26"/>
        </w:rPr>
      </w:pPr>
      <w:r>
        <w:rPr>
          <w:rFonts w:ascii="Times New Roman" w:eastAsia="Times New Roman" w:hAnsi="Times New Roman"/>
          <w:sz w:val="26"/>
        </w:rPr>
        <w:t>De ahí que el sentido común conduzca a concluir que los hechos respondieron a un actuar mancomunado y a aceptar así, con el grado de provisoriedad propia de esa etapa procesal, la propuesta de confirmar el proce</w:t>
      </w:r>
      <w:r>
        <w:rPr>
          <w:rFonts w:ascii="Times New Roman" w:eastAsia="Times New Roman" w:hAnsi="Times New Roman"/>
          <w:sz w:val="26"/>
        </w:rPr>
        <w:t>samiento dictado en primera instancia.</w:t>
      </w:r>
    </w:p>
    <w:p w:rsidR="00000000" w:rsidRDefault="008824AB">
      <w:pPr>
        <w:spacing w:line="19" w:lineRule="exact"/>
        <w:rPr>
          <w:rFonts w:ascii="Times New Roman" w:eastAsia="Times New Roman" w:hAnsi="Times New Roman"/>
        </w:rPr>
      </w:pPr>
    </w:p>
    <w:p w:rsidR="00000000" w:rsidRDefault="008824AB">
      <w:pPr>
        <w:spacing w:line="360" w:lineRule="auto"/>
        <w:ind w:right="40" w:firstLine="2837"/>
        <w:rPr>
          <w:rFonts w:ascii="Times New Roman" w:eastAsia="Times New Roman" w:hAnsi="Times New Roman"/>
          <w:sz w:val="26"/>
        </w:rPr>
      </w:pPr>
      <w:r>
        <w:rPr>
          <w:rFonts w:ascii="Times New Roman" w:eastAsia="Times New Roman" w:hAnsi="Times New Roman"/>
          <w:sz w:val="26"/>
        </w:rPr>
        <w:t xml:space="preserve">Al respecto, ya dije más de una vez que </w:t>
      </w:r>
      <w:r>
        <w:rPr>
          <w:rFonts w:ascii="Times New Roman" w:eastAsia="Times New Roman" w:hAnsi="Times New Roman"/>
          <w:sz w:val="26"/>
        </w:rPr>
        <w:t xml:space="preserve">“La lógica del avance de un proceso penal podría explicarse sencillamente de este modo: lo que es </w:t>
      </w:r>
      <w:r>
        <w:rPr>
          <w:rFonts w:ascii="Times New Roman" w:eastAsia="Times New Roman" w:hAnsi="Times New Roman"/>
          <w:sz w:val="26"/>
        </w:rPr>
        <w:t>“posible</w:t>
      </w:r>
      <w:r>
        <w:rPr>
          <w:rFonts w:ascii="Times New Roman" w:eastAsia="Times New Roman" w:hAnsi="Times New Roman"/>
          <w:sz w:val="26"/>
        </w:rPr>
        <w:t>” (es decir, verosímil) determina el inicio de la investigación, lo qu</w:t>
      </w:r>
      <w:r>
        <w:rPr>
          <w:rFonts w:ascii="Times New Roman" w:eastAsia="Times New Roman" w:hAnsi="Times New Roman"/>
          <w:sz w:val="26"/>
        </w:rPr>
        <w:t xml:space="preserve">e es </w:t>
      </w:r>
      <w:r>
        <w:rPr>
          <w:rFonts w:ascii="Times New Roman" w:eastAsia="Times New Roman" w:hAnsi="Times New Roman"/>
          <w:sz w:val="26"/>
        </w:rPr>
        <w:t>“probable</w:t>
      </w:r>
      <w:r>
        <w:rPr>
          <w:rFonts w:ascii="Times New Roman" w:eastAsia="Times New Roman" w:hAnsi="Times New Roman"/>
          <w:sz w:val="26"/>
        </w:rPr>
        <w:t xml:space="preserve">” conduce al procesamiento de un individuo o a su envío a juicio y la </w:t>
      </w:r>
      <w:r>
        <w:rPr>
          <w:rFonts w:ascii="Times New Roman" w:eastAsia="Times New Roman" w:hAnsi="Times New Roman"/>
          <w:sz w:val="26"/>
        </w:rPr>
        <w:t>“certeza</w:t>
      </w:r>
      <w:r>
        <w:rPr>
          <w:rFonts w:ascii="Times New Roman" w:eastAsia="Times New Roman" w:hAnsi="Times New Roman"/>
          <w:sz w:val="26"/>
        </w:rPr>
        <w:t>” es lo único que permite su condena; al tiempo que la certeza o la duda (agotados todos los esfuerzos probatorios) es lo que lleva a su sobreseimiento o absolución</w:t>
      </w:r>
      <w:r>
        <w:rPr>
          <w:rFonts w:ascii="Times New Roman" w:eastAsia="Times New Roman" w:hAnsi="Times New Roman"/>
          <w:sz w:val="26"/>
        </w:rPr>
        <w:t xml:space="preserve">” (conf. mi voto en CFP 777/2015/CA1 </w:t>
      </w:r>
      <w:r>
        <w:rPr>
          <w:rFonts w:ascii="Times New Roman" w:eastAsia="Times New Roman" w:hAnsi="Times New Roman"/>
          <w:sz w:val="26"/>
        </w:rPr>
        <w:t>“Nisman, Alberto s/ denuncia</w:t>
      </w:r>
      <w:r>
        <w:rPr>
          <w:rFonts w:ascii="Times New Roman" w:eastAsia="Times New Roman" w:hAnsi="Times New Roman"/>
          <w:sz w:val="26"/>
        </w:rPr>
        <w:t xml:space="preserve">”, del 26/3/15; y CFP 7111/2010/14/CA7 </w:t>
      </w:r>
      <w:r>
        <w:rPr>
          <w:rFonts w:ascii="Times New Roman" w:eastAsia="Times New Roman" w:hAnsi="Times New Roman"/>
          <w:sz w:val="26"/>
        </w:rPr>
        <w:t>“Ministerio Público Fiscal s/ legajo de apelación</w:t>
      </w:r>
      <w:r>
        <w:rPr>
          <w:rFonts w:ascii="Times New Roman" w:eastAsia="Times New Roman" w:hAnsi="Times New Roman"/>
          <w:sz w:val="26"/>
        </w:rPr>
        <w:t>”, del 14/7/2015; entre otros).</w:t>
      </w:r>
    </w:p>
    <w:p w:rsidR="00000000" w:rsidRDefault="008824AB">
      <w:pPr>
        <w:spacing w:line="200" w:lineRule="exact"/>
        <w:rPr>
          <w:rFonts w:ascii="Times New Roman" w:eastAsia="Times New Roman" w:hAnsi="Times New Roman"/>
        </w:rPr>
      </w:pPr>
    </w:p>
    <w:p w:rsidR="00000000" w:rsidRDefault="008824AB">
      <w:pPr>
        <w:spacing w:line="247" w:lineRule="exact"/>
        <w:rPr>
          <w:rFonts w:ascii="Times New Roman" w:eastAsia="Times New Roman" w:hAnsi="Times New Roman"/>
        </w:rPr>
      </w:pPr>
    </w:p>
    <w:p w:rsidR="00000000" w:rsidRDefault="008824AB">
      <w:pPr>
        <w:spacing w:line="357" w:lineRule="auto"/>
        <w:ind w:firstLine="2837"/>
        <w:rPr>
          <w:rFonts w:ascii="Times New Roman" w:eastAsia="Times New Roman" w:hAnsi="Times New Roman"/>
          <w:sz w:val="26"/>
        </w:rPr>
      </w:pPr>
      <w:r>
        <w:rPr>
          <w:rFonts w:ascii="Times New Roman" w:eastAsia="Times New Roman" w:hAnsi="Times New Roman"/>
          <w:sz w:val="26"/>
        </w:rPr>
        <w:t>Como anticipé, lo vital pasa porque hay pruebas suficientes para sost</w:t>
      </w:r>
      <w:r>
        <w:rPr>
          <w:rFonts w:ascii="Times New Roman" w:eastAsia="Times New Roman" w:hAnsi="Times New Roman"/>
          <w:sz w:val="26"/>
        </w:rPr>
        <w:t>ener que, en concreto, Cristina Fernández de Kirchner y Axel Kicillof tomaron parte central en la decisión de dar curso a la maniobra de defraudación contra el patrimonio del BCRA. Existen indicios específicos de lo anterior; también datos tales como la</w:t>
      </w:r>
    </w:p>
    <w:p w:rsidR="00000000" w:rsidRDefault="008824AB">
      <w:pPr>
        <w:spacing w:line="357" w:lineRule="auto"/>
        <w:ind w:firstLine="2837"/>
        <w:rPr>
          <w:rFonts w:ascii="Times New Roman" w:eastAsia="Times New Roman" w:hAnsi="Times New Roman"/>
          <w:sz w:val="26"/>
        </w:rPr>
        <w:sectPr w:rsidR="00000000">
          <w:pgSz w:w="11900" w:h="16840"/>
          <w:pgMar w:top="1440" w:right="3080" w:bottom="1440" w:left="1140" w:header="0" w:footer="0" w:gutter="0"/>
          <w:cols w:space="0" w:equalWidth="0">
            <w:col w:w="7680"/>
          </w:cols>
          <w:docGrid w:linePitch="360"/>
        </w:sectPr>
      </w:pPr>
    </w:p>
    <w:p w:rsidR="00000000" w:rsidRDefault="008824AB">
      <w:pPr>
        <w:spacing w:line="0" w:lineRule="atLeast"/>
        <w:ind w:left="440"/>
        <w:rPr>
          <w:sz w:val="24"/>
        </w:rPr>
      </w:pPr>
      <w:bookmarkStart w:id="36" w:name="page37"/>
      <w:bookmarkEnd w:id="36"/>
      <w:r>
        <w:rPr>
          <w:sz w:val="24"/>
        </w:rPr>
        <w:lastRenderedPageBreak/>
        <w:t>A</w:t>
      </w:r>
      <w:r>
        <w:rPr>
          <w:sz w:val="24"/>
        </w:rPr>
        <w:t>ño del Bicentenario de la Declaración de la Independencia Nacional</w:t>
      </w:r>
    </w:p>
    <w:p w:rsidR="00000000" w:rsidRDefault="002D0F24">
      <w:pPr>
        <w:spacing w:line="200" w:lineRule="exact"/>
        <w:rPr>
          <w:rFonts w:ascii="Times New Roman" w:eastAsia="Times New Roman" w:hAnsi="Times New Roman"/>
        </w:rPr>
      </w:pPr>
      <w:r>
        <w:rPr>
          <w:noProof/>
          <w:sz w:val="24"/>
        </w:rPr>
        <w:drawing>
          <wp:anchor distT="0" distB="0" distL="114300" distR="114300" simplePos="0" relativeHeight="251682816" behindDoc="1" locked="0" layoutInCell="0" allowOverlap="1">
            <wp:simplePos x="0" y="0"/>
            <wp:positionH relativeFrom="column">
              <wp:posOffset>2213610</wp:posOffset>
            </wp:positionH>
            <wp:positionV relativeFrom="paragraph">
              <wp:posOffset>50800</wp:posOffset>
            </wp:positionV>
            <wp:extent cx="374650" cy="575945"/>
            <wp:effectExtent l="19050" t="0" r="635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cstate="print"/>
                    <a:srcRect/>
                    <a:stretch>
                      <a:fillRect/>
                    </a:stretch>
                  </pic:blipFill>
                  <pic:spPr bwMode="auto">
                    <a:xfrm>
                      <a:off x="0" y="0"/>
                      <a:ext cx="374650" cy="575945"/>
                    </a:xfrm>
                    <a:prstGeom prst="rect">
                      <a:avLst/>
                    </a:prstGeom>
                    <a:noFill/>
                  </pic:spPr>
                </pic:pic>
              </a:graphicData>
            </a:graphic>
          </wp:anchor>
        </w:drawing>
      </w: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45" w:lineRule="exact"/>
        <w:rPr>
          <w:rFonts w:ascii="Times New Roman" w:eastAsia="Times New Roman" w:hAnsi="Times New Roman"/>
        </w:rPr>
      </w:pPr>
    </w:p>
    <w:p w:rsidR="00000000" w:rsidRDefault="008824AB">
      <w:pPr>
        <w:spacing w:line="0" w:lineRule="atLeast"/>
        <w:ind w:left="2240"/>
        <w:rPr>
          <w:rFonts w:ascii="Times New Roman" w:eastAsia="Times New Roman" w:hAnsi="Times New Roman"/>
          <w:sz w:val="28"/>
        </w:rPr>
      </w:pPr>
      <w:r>
        <w:rPr>
          <w:rFonts w:ascii="Times New Roman" w:eastAsia="Times New Roman" w:hAnsi="Times New Roman"/>
          <w:sz w:val="28"/>
        </w:rPr>
        <w:t>Poder Judicial de la Nación</w:t>
      </w:r>
    </w:p>
    <w:p w:rsidR="00000000" w:rsidRDefault="008824AB">
      <w:pPr>
        <w:spacing w:line="129" w:lineRule="exact"/>
        <w:rPr>
          <w:rFonts w:ascii="Times New Roman" w:eastAsia="Times New Roman" w:hAnsi="Times New Roman"/>
        </w:rPr>
      </w:pPr>
    </w:p>
    <w:p w:rsidR="00000000" w:rsidRDefault="008824AB">
      <w:pPr>
        <w:spacing w:line="239" w:lineRule="auto"/>
        <w:ind w:left="2680"/>
        <w:rPr>
          <w:rFonts w:ascii="Times New Roman" w:eastAsia="Times New Roman" w:hAnsi="Times New Roman"/>
          <w:sz w:val="18"/>
        </w:rPr>
      </w:pPr>
      <w:r>
        <w:rPr>
          <w:rFonts w:ascii="Times New Roman" w:eastAsia="Times New Roman" w:hAnsi="Times New Roman"/>
          <w:sz w:val="18"/>
        </w:rPr>
        <w:t>CAMARA CRIMINAL Y CORRECCIONAL FEDERAL - SALA 2</w:t>
      </w:r>
    </w:p>
    <w:p w:rsidR="00000000" w:rsidRDefault="008824AB">
      <w:pPr>
        <w:spacing w:line="239" w:lineRule="auto"/>
        <w:ind w:left="5740"/>
        <w:rPr>
          <w:rFonts w:ascii="Times New Roman" w:eastAsia="Times New Roman" w:hAnsi="Times New Roman"/>
          <w:sz w:val="18"/>
        </w:rPr>
      </w:pPr>
      <w:r>
        <w:rPr>
          <w:rFonts w:ascii="Times New Roman" w:eastAsia="Times New Roman" w:hAnsi="Times New Roman"/>
          <w:sz w:val="18"/>
        </w:rPr>
        <w:t>CFP 12152/2015/27/CA5</w:t>
      </w:r>
    </w:p>
    <w:p w:rsidR="00000000" w:rsidRDefault="008824AB">
      <w:pPr>
        <w:spacing w:line="293" w:lineRule="exact"/>
        <w:rPr>
          <w:rFonts w:ascii="Times New Roman" w:eastAsia="Times New Roman" w:hAnsi="Times New Roman"/>
        </w:rPr>
      </w:pPr>
    </w:p>
    <w:p w:rsidR="00000000" w:rsidRDefault="008824AB">
      <w:pPr>
        <w:spacing w:line="354" w:lineRule="auto"/>
        <w:ind w:right="140"/>
        <w:jc w:val="both"/>
        <w:rPr>
          <w:rFonts w:ascii="Times New Roman" w:eastAsia="Times New Roman" w:hAnsi="Times New Roman"/>
          <w:sz w:val="26"/>
        </w:rPr>
      </w:pPr>
      <w:r>
        <w:rPr>
          <w:rFonts w:ascii="Times New Roman" w:eastAsia="Times New Roman" w:hAnsi="Times New Roman"/>
          <w:sz w:val="26"/>
        </w:rPr>
        <w:t>dimensión y especial tenor de la operatoria y la práctica habitual que solía emplea</w:t>
      </w:r>
      <w:r>
        <w:rPr>
          <w:rFonts w:ascii="Times New Roman" w:eastAsia="Times New Roman" w:hAnsi="Times New Roman"/>
          <w:sz w:val="26"/>
        </w:rPr>
        <w:t>rse para asuntos de esa naturaleza, que impiden llegar, a esta altura, a una conclusión distinta.</w:t>
      </w:r>
    </w:p>
    <w:p w:rsidR="00000000" w:rsidRDefault="008824AB">
      <w:pPr>
        <w:spacing w:line="21" w:lineRule="exact"/>
        <w:rPr>
          <w:rFonts w:ascii="Times New Roman" w:eastAsia="Times New Roman" w:hAnsi="Times New Roman"/>
        </w:rPr>
      </w:pPr>
    </w:p>
    <w:p w:rsidR="00000000" w:rsidRDefault="008824AB">
      <w:pPr>
        <w:spacing w:line="359" w:lineRule="auto"/>
        <w:ind w:firstLine="2837"/>
        <w:rPr>
          <w:rFonts w:ascii="Times New Roman" w:eastAsia="Times New Roman" w:hAnsi="Times New Roman"/>
          <w:sz w:val="26"/>
        </w:rPr>
      </w:pPr>
      <w:r>
        <w:rPr>
          <w:rFonts w:ascii="Times New Roman" w:eastAsia="Times New Roman" w:hAnsi="Times New Roman"/>
          <w:sz w:val="26"/>
        </w:rPr>
        <w:t>Es cierto -los agravios de las defensas lo dejan en evidencia- que las responsabilidades penales aquí discernidas seguirán siendo materia de discusión. Pero</w:t>
      </w:r>
      <w:r>
        <w:rPr>
          <w:rFonts w:ascii="Times New Roman" w:eastAsia="Times New Roman" w:hAnsi="Times New Roman"/>
          <w:sz w:val="26"/>
        </w:rPr>
        <w:t xml:space="preserve"> eso no afecta a la corrección de los procesamientos resueltos en consecuencia. Para su dictado basta con que, como sucede en la causa, la hipótesis de cargo tenga aval en los elementos colectados, de modo acorde con el estándar de probabilidad que el art.</w:t>
      </w:r>
      <w:r>
        <w:rPr>
          <w:rFonts w:ascii="Times New Roman" w:eastAsia="Times New Roman" w:hAnsi="Times New Roman"/>
          <w:sz w:val="26"/>
        </w:rPr>
        <w:t xml:space="preserve"> 306 del Código Procesal Penal exige para permitir el avance del caso hacia siguientes fases del enjuiciamiento. Con arreglo a esta estructura del sistema procesal, será misión de un -eventual- debate oral, generar un ámbito de mayor confrontación, inmedia</w:t>
      </w:r>
      <w:r>
        <w:rPr>
          <w:rFonts w:ascii="Times New Roman" w:eastAsia="Times New Roman" w:hAnsi="Times New Roman"/>
          <w:sz w:val="26"/>
        </w:rPr>
        <w:t>tez y contradicción, que sirva de marco propicio para un más profundo abordaje de las objeciones planteadas. Ésa, por cierto, es la esencia de dicha etapa y no la de ésta, que está prevista -justamente- como preparatoria y con la idea de evitar prolongacio</w:t>
      </w:r>
      <w:r>
        <w:rPr>
          <w:rFonts w:ascii="Times New Roman" w:eastAsia="Times New Roman" w:hAnsi="Times New Roman"/>
          <w:sz w:val="26"/>
        </w:rPr>
        <w:t xml:space="preserve">nes desmedidas que la desnaturalicen, frustrando todos los intereses legítimos en juego, el de los imputados, el de los acusadores y el de la propia comunidad que espera una respuesta en tiempo y forma sobre los hechos de relevancia institucional, como el </w:t>
      </w:r>
      <w:r>
        <w:rPr>
          <w:rFonts w:ascii="Times New Roman" w:eastAsia="Times New Roman" w:hAnsi="Times New Roman"/>
          <w:sz w:val="26"/>
        </w:rPr>
        <w:t>presente.</w:t>
      </w:r>
    </w:p>
    <w:p w:rsidR="00000000" w:rsidRDefault="008824AB">
      <w:pPr>
        <w:spacing w:line="200" w:lineRule="exact"/>
        <w:rPr>
          <w:rFonts w:ascii="Times New Roman" w:eastAsia="Times New Roman" w:hAnsi="Times New Roman"/>
        </w:rPr>
      </w:pPr>
    </w:p>
    <w:p w:rsidR="00000000" w:rsidRDefault="008824AB">
      <w:pPr>
        <w:spacing w:line="266" w:lineRule="exact"/>
        <w:rPr>
          <w:rFonts w:ascii="Times New Roman" w:eastAsia="Times New Roman" w:hAnsi="Times New Roman"/>
        </w:rPr>
      </w:pPr>
    </w:p>
    <w:p w:rsidR="00000000" w:rsidRDefault="008824AB">
      <w:pPr>
        <w:spacing w:line="239" w:lineRule="auto"/>
        <w:ind w:left="2820"/>
        <w:rPr>
          <w:rFonts w:ascii="Times New Roman" w:eastAsia="Times New Roman" w:hAnsi="Times New Roman"/>
          <w:b/>
          <w:sz w:val="26"/>
        </w:rPr>
      </w:pPr>
      <w:r>
        <w:rPr>
          <w:rFonts w:ascii="Times New Roman" w:eastAsia="Times New Roman" w:hAnsi="Times New Roman"/>
          <w:b/>
          <w:sz w:val="26"/>
        </w:rPr>
        <w:t xml:space="preserve">V.d- </w:t>
      </w:r>
      <w:r>
        <w:rPr>
          <w:rFonts w:ascii="Times New Roman" w:eastAsia="Times New Roman" w:hAnsi="Times New Roman"/>
          <w:b/>
          <w:sz w:val="26"/>
          <w:u w:val="single"/>
        </w:rPr>
        <w:t>Cuarto</w:t>
      </w:r>
      <w:r>
        <w:rPr>
          <w:rFonts w:ascii="Times New Roman" w:eastAsia="Times New Roman" w:hAnsi="Times New Roman"/>
          <w:b/>
          <w:sz w:val="26"/>
        </w:rPr>
        <w:t>:</w:t>
      </w:r>
    </w:p>
    <w:p w:rsidR="00000000" w:rsidRDefault="008824AB">
      <w:pPr>
        <w:spacing w:line="153" w:lineRule="exact"/>
        <w:rPr>
          <w:rFonts w:ascii="Times New Roman" w:eastAsia="Times New Roman" w:hAnsi="Times New Roman"/>
        </w:rPr>
      </w:pPr>
    </w:p>
    <w:p w:rsidR="00000000" w:rsidRDefault="008824AB">
      <w:pPr>
        <w:spacing w:line="355" w:lineRule="auto"/>
        <w:ind w:right="180" w:firstLine="2837"/>
        <w:jc w:val="both"/>
        <w:rPr>
          <w:rFonts w:ascii="Times New Roman" w:eastAsia="Times New Roman" w:hAnsi="Times New Roman"/>
          <w:sz w:val="26"/>
        </w:rPr>
      </w:pPr>
      <w:r>
        <w:rPr>
          <w:rFonts w:ascii="Times New Roman" w:eastAsia="Times New Roman" w:hAnsi="Times New Roman"/>
          <w:sz w:val="26"/>
        </w:rPr>
        <w:t>Comparto, finalmente, la propuesta de confirmar el monto de los embargos ordenados en la resolución recurrida, por las razones expresadas en el voto precedente.</w:t>
      </w:r>
    </w:p>
    <w:p w:rsidR="00000000" w:rsidRDefault="008824AB">
      <w:pPr>
        <w:spacing w:line="355" w:lineRule="auto"/>
        <w:ind w:right="180" w:firstLine="2837"/>
        <w:jc w:val="both"/>
        <w:rPr>
          <w:rFonts w:ascii="Times New Roman" w:eastAsia="Times New Roman" w:hAnsi="Times New Roman"/>
          <w:sz w:val="26"/>
        </w:rPr>
        <w:sectPr w:rsidR="00000000">
          <w:pgSz w:w="11900" w:h="16840"/>
          <w:pgMar w:top="373" w:right="940" w:bottom="1440" w:left="3200" w:header="0" w:footer="0" w:gutter="0"/>
          <w:cols w:space="0" w:equalWidth="0">
            <w:col w:w="7760"/>
          </w:cols>
          <w:docGrid w:linePitch="360"/>
        </w:sectPr>
      </w:pPr>
    </w:p>
    <w:p w:rsidR="00000000" w:rsidRDefault="008824AB">
      <w:pPr>
        <w:spacing w:line="200" w:lineRule="exact"/>
        <w:rPr>
          <w:rFonts w:ascii="Times New Roman" w:eastAsia="Times New Roman" w:hAnsi="Times New Roman"/>
        </w:rPr>
      </w:pPr>
      <w:bookmarkStart w:id="37" w:name="page38"/>
      <w:bookmarkEnd w:id="37"/>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27" w:lineRule="exact"/>
        <w:rPr>
          <w:rFonts w:ascii="Times New Roman" w:eastAsia="Times New Roman" w:hAnsi="Times New Roman"/>
        </w:rPr>
      </w:pPr>
    </w:p>
    <w:p w:rsidR="00000000" w:rsidRDefault="008824AB">
      <w:pPr>
        <w:spacing w:line="354" w:lineRule="auto"/>
        <w:ind w:right="140" w:firstLine="2837"/>
        <w:jc w:val="both"/>
        <w:rPr>
          <w:rFonts w:ascii="Times New Roman" w:eastAsia="Times New Roman" w:hAnsi="Times New Roman"/>
          <w:sz w:val="26"/>
        </w:rPr>
      </w:pPr>
      <w:r>
        <w:rPr>
          <w:rFonts w:ascii="Times New Roman" w:eastAsia="Times New Roman" w:hAnsi="Times New Roman"/>
          <w:sz w:val="26"/>
        </w:rPr>
        <w:t>Por lo demás, reiterando mi adhesión al resto de las consider</w:t>
      </w:r>
      <w:r>
        <w:rPr>
          <w:rFonts w:ascii="Times New Roman" w:eastAsia="Times New Roman" w:hAnsi="Times New Roman"/>
          <w:sz w:val="26"/>
        </w:rPr>
        <w:t>aciones efectuadas por el Dr. Irurzun, voto por confirmar la resolución apelada en cuanto decide y fue materia de apelación.</w:t>
      </w:r>
    </w:p>
    <w:p w:rsidR="00000000" w:rsidRDefault="008824AB">
      <w:pPr>
        <w:spacing w:line="21" w:lineRule="exact"/>
        <w:rPr>
          <w:rFonts w:ascii="Times New Roman" w:eastAsia="Times New Roman" w:hAnsi="Times New Roman"/>
        </w:rPr>
      </w:pPr>
    </w:p>
    <w:p w:rsidR="00000000" w:rsidRDefault="008824AB">
      <w:pPr>
        <w:spacing w:line="350" w:lineRule="auto"/>
        <w:ind w:right="180" w:firstLine="2837"/>
        <w:jc w:val="both"/>
        <w:rPr>
          <w:rFonts w:ascii="Times New Roman" w:eastAsia="Times New Roman" w:hAnsi="Times New Roman"/>
          <w:b/>
          <w:sz w:val="26"/>
        </w:rPr>
      </w:pPr>
      <w:r>
        <w:rPr>
          <w:rFonts w:ascii="Times New Roman" w:eastAsia="Times New Roman" w:hAnsi="Times New Roman"/>
          <w:sz w:val="26"/>
        </w:rPr>
        <w:t xml:space="preserve">Es en virtud de lo expuesto que corresponde y por ello este Tribunal </w:t>
      </w:r>
      <w:r>
        <w:rPr>
          <w:rFonts w:ascii="Times New Roman" w:eastAsia="Times New Roman" w:hAnsi="Times New Roman"/>
          <w:b/>
          <w:sz w:val="26"/>
        </w:rPr>
        <w:t>RESUELVE:</w:t>
      </w:r>
    </w:p>
    <w:p w:rsidR="00000000" w:rsidRDefault="008824AB">
      <w:pPr>
        <w:spacing w:line="16" w:lineRule="exact"/>
        <w:rPr>
          <w:rFonts w:ascii="Times New Roman" w:eastAsia="Times New Roman" w:hAnsi="Times New Roman"/>
        </w:rPr>
      </w:pPr>
    </w:p>
    <w:p w:rsidR="00000000" w:rsidRDefault="008824AB">
      <w:pPr>
        <w:spacing w:line="359" w:lineRule="auto"/>
        <w:ind w:right="180" w:firstLine="2837"/>
        <w:jc w:val="both"/>
        <w:rPr>
          <w:rFonts w:ascii="Times New Roman" w:eastAsia="Times New Roman" w:hAnsi="Times New Roman"/>
          <w:sz w:val="26"/>
        </w:rPr>
      </w:pPr>
      <w:r>
        <w:rPr>
          <w:rFonts w:ascii="Times New Roman" w:eastAsia="Times New Roman" w:hAnsi="Times New Roman"/>
          <w:b/>
          <w:sz w:val="26"/>
        </w:rPr>
        <w:t xml:space="preserve">I. NO HACER LUGAR </w:t>
      </w:r>
      <w:r>
        <w:rPr>
          <w:rFonts w:ascii="Times New Roman" w:eastAsia="Times New Roman" w:hAnsi="Times New Roman"/>
          <w:sz w:val="26"/>
        </w:rPr>
        <w:t>a la nulidad de la</w:t>
      </w:r>
      <w:r>
        <w:rPr>
          <w:rFonts w:ascii="Times New Roman" w:eastAsia="Times New Roman" w:hAnsi="Times New Roman"/>
          <w:b/>
          <w:sz w:val="26"/>
        </w:rPr>
        <w:t xml:space="preserve"> </w:t>
      </w:r>
      <w:r>
        <w:rPr>
          <w:rFonts w:ascii="Times New Roman" w:eastAsia="Times New Roman" w:hAnsi="Times New Roman"/>
          <w:sz w:val="26"/>
        </w:rPr>
        <w:t>decisión obr</w:t>
      </w:r>
      <w:r>
        <w:rPr>
          <w:rFonts w:ascii="Times New Roman" w:eastAsia="Times New Roman" w:hAnsi="Times New Roman"/>
          <w:sz w:val="26"/>
        </w:rPr>
        <w:t>ante en fotocopias a fs. 471/543 de este incidente, de conformidad con los argumentos desarrollados en el Considerando III de la presente.</w:t>
      </w:r>
    </w:p>
    <w:p w:rsidR="00000000" w:rsidRDefault="008824AB">
      <w:pPr>
        <w:spacing w:line="4" w:lineRule="exact"/>
        <w:rPr>
          <w:rFonts w:ascii="Times New Roman" w:eastAsia="Times New Roman" w:hAnsi="Times New Roman"/>
        </w:rPr>
      </w:pPr>
    </w:p>
    <w:p w:rsidR="00000000" w:rsidRDefault="008824AB">
      <w:pPr>
        <w:spacing w:line="359" w:lineRule="auto"/>
        <w:ind w:firstLine="2837"/>
        <w:rPr>
          <w:rFonts w:ascii="Times New Roman" w:eastAsia="Times New Roman" w:hAnsi="Times New Roman"/>
          <w:sz w:val="26"/>
        </w:rPr>
      </w:pPr>
      <w:r>
        <w:rPr>
          <w:rFonts w:ascii="Times New Roman" w:eastAsia="Times New Roman" w:hAnsi="Times New Roman"/>
          <w:b/>
          <w:sz w:val="26"/>
        </w:rPr>
        <w:t xml:space="preserve">II. CONFIRMAR </w:t>
      </w:r>
      <w:r>
        <w:rPr>
          <w:rFonts w:ascii="Times New Roman" w:eastAsia="Times New Roman" w:hAnsi="Times New Roman"/>
          <w:sz w:val="26"/>
        </w:rPr>
        <w:t>el punto dispositivo I de</w:t>
      </w:r>
      <w:r>
        <w:rPr>
          <w:rFonts w:ascii="Times New Roman" w:eastAsia="Times New Roman" w:hAnsi="Times New Roman"/>
          <w:b/>
          <w:sz w:val="26"/>
        </w:rPr>
        <w:t xml:space="preserve"> </w:t>
      </w:r>
      <w:r>
        <w:rPr>
          <w:rFonts w:ascii="Times New Roman" w:eastAsia="Times New Roman" w:hAnsi="Times New Roman"/>
          <w:sz w:val="26"/>
        </w:rPr>
        <w:t xml:space="preserve">la resolución que en fotocopias se encuentra agregada a fs. 471/543 de este </w:t>
      </w:r>
      <w:r>
        <w:rPr>
          <w:rFonts w:ascii="Times New Roman" w:eastAsia="Times New Roman" w:hAnsi="Times New Roman"/>
          <w:sz w:val="26"/>
        </w:rPr>
        <w:t xml:space="preserve">incidente, en cuanto </w:t>
      </w:r>
      <w:r>
        <w:rPr>
          <w:rFonts w:ascii="Times New Roman" w:eastAsia="Times New Roman" w:hAnsi="Times New Roman"/>
          <w:b/>
          <w:sz w:val="26"/>
        </w:rPr>
        <w:t>DISPONE</w:t>
      </w:r>
      <w:r>
        <w:rPr>
          <w:rFonts w:ascii="Times New Roman" w:eastAsia="Times New Roman" w:hAnsi="Times New Roman"/>
          <w:sz w:val="26"/>
        </w:rPr>
        <w:t xml:space="preserve"> los </w:t>
      </w:r>
      <w:r>
        <w:rPr>
          <w:rFonts w:ascii="Times New Roman" w:eastAsia="Times New Roman" w:hAnsi="Times New Roman"/>
          <w:b/>
          <w:sz w:val="26"/>
        </w:rPr>
        <w:t>PROCESAMIENTOS</w:t>
      </w:r>
      <w:r>
        <w:rPr>
          <w:rFonts w:ascii="Times New Roman" w:eastAsia="Times New Roman" w:hAnsi="Times New Roman"/>
          <w:sz w:val="26"/>
        </w:rPr>
        <w:t xml:space="preserve"> de Cristina Fernandez de Kirchner, Pedro Martín Biscay, Sebastián Andrés Aguilera, Miguel Angel Pesce, Alejandro Vanoli Long Biocca, Flavia Matilde Marrodan, Alejandro Formento, German David Feldman, Juan Mig</w:t>
      </w:r>
      <w:r>
        <w:rPr>
          <w:rFonts w:ascii="Times New Roman" w:eastAsia="Times New Roman" w:hAnsi="Times New Roman"/>
          <w:sz w:val="26"/>
        </w:rPr>
        <w:t xml:space="preserve">uel Cuattromo, Bárbara Emilia Domatto Conti, Mariano Beltrani, Axel Kicillof, Cristian Alexis Girard, Guillermo Mario Pavan y David Rene Jacoby en orden a sus responsabilidades en los hechos </w:t>
      </w:r>
      <w:r>
        <w:rPr>
          <w:rFonts w:ascii="Times New Roman" w:eastAsia="Times New Roman" w:hAnsi="Times New Roman"/>
          <w:i/>
          <w:sz w:val="26"/>
        </w:rPr>
        <w:t>prima facie</w:t>
      </w:r>
      <w:r>
        <w:rPr>
          <w:rFonts w:ascii="Times New Roman" w:eastAsia="Times New Roman" w:hAnsi="Times New Roman"/>
          <w:sz w:val="26"/>
        </w:rPr>
        <w:t xml:space="preserve"> calificados como infracción al artículo 173, inciso 7</w:t>
      </w:r>
      <w:r>
        <w:rPr>
          <w:rFonts w:ascii="Times New Roman" w:eastAsia="Times New Roman" w:hAnsi="Times New Roman"/>
          <w:sz w:val="26"/>
        </w:rPr>
        <w:t>° en función del artículo 174, inciso 5° del Código Penal -artículo 306 del Código Procesal Penal de la Nación-.</w:t>
      </w:r>
    </w:p>
    <w:p w:rsidR="00000000" w:rsidRDefault="008824AB">
      <w:pPr>
        <w:spacing w:line="17" w:lineRule="exact"/>
        <w:rPr>
          <w:rFonts w:ascii="Times New Roman" w:eastAsia="Times New Roman" w:hAnsi="Times New Roman"/>
        </w:rPr>
      </w:pPr>
    </w:p>
    <w:p w:rsidR="00000000" w:rsidRDefault="008824AB">
      <w:pPr>
        <w:spacing w:line="359" w:lineRule="auto"/>
        <w:ind w:right="180" w:firstLine="2837"/>
        <w:jc w:val="both"/>
        <w:rPr>
          <w:rFonts w:ascii="Times New Roman" w:eastAsia="Times New Roman" w:hAnsi="Times New Roman"/>
          <w:sz w:val="26"/>
        </w:rPr>
      </w:pPr>
      <w:r>
        <w:rPr>
          <w:rFonts w:ascii="Times New Roman" w:eastAsia="Times New Roman" w:hAnsi="Times New Roman"/>
          <w:b/>
          <w:sz w:val="26"/>
        </w:rPr>
        <w:t xml:space="preserve">III. CONFIRMAR </w:t>
      </w:r>
      <w:r>
        <w:rPr>
          <w:rFonts w:ascii="Times New Roman" w:eastAsia="Times New Roman" w:hAnsi="Times New Roman"/>
          <w:sz w:val="26"/>
        </w:rPr>
        <w:t>el punto dispositivo II</w:t>
      </w:r>
      <w:r>
        <w:rPr>
          <w:rFonts w:ascii="Times New Roman" w:eastAsia="Times New Roman" w:hAnsi="Times New Roman"/>
          <w:b/>
          <w:sz w:val="26"/>
        </w:rPr>
        <w:t xml:space="preserve"> </w:t>
      </w:r>
      <w:r>
        <w:rPr>
          <w:rFonts w:ascii="Times New Roman" w:eastAsia="Times New Roman" w:hAnsi="Times New Roman"/>
          <w:sz w:val="26"/>
        </w:rPr>
        <w:t xml:space="preserve">del citado decisorio en cuanto </w:t>
      </w:r>
      <w:r>
        <w:rPr>
          <w:rFonts w:ascii="Times New Roman" w:eastAsia="Times New Roman" w:hAnsi="Times New Roman"/>
          <w:b/>
          <w:sz w:val="26"/>
        </w:rPr>
        <w:t>MANDA TRABAR EMBARGO</w:t>
      </w:r>
      <w:r>
        <w:rPr>
          <w:rFonts w:ascii="Times New Roman" w:eastAsia="Times New Roman" w:hAnsi="Times New Roman"/>
          <w:sz w:val="26"/>
        </w:rPr>
        <w:t xml:space="preserve"> sobre los bienes de los nombrados hasta cubrir la s</w:t>
      </w:r>
      <w:r>
        <w:rPr>
          <w:rFonts w:ascii="Times New Roman" w:eastAsia="Times New Roman" w:hAnsi="Times New Roman"/>
          <w:sz w:val="26"/>
        </w:rPr>
        <w:t>uma de quince millones de pesos, de conformidad con lo indicado en el Considerando IV.e- de la presente -artículo 519 del Código Procesal Penal de la Nación-.</w:t>
      </w:r>
    </w:p>
    <w:p w:rsidR="00000000" w:rsidRDefault="008824AB">
      <w:pPr>
        <w:spacing w:line="4" w:lineRule="exact"/>
        <w:rPr>
          <w:rFonts w:ascii="Times New Roman" w:eastAsia="Times New Roman" w:hAnsi="Times New Roman"/>
        </w:rPr>
      </w:pPr>
    </w:p>
    <w:p w:rsidR="00000000" w:rsidRDefault="008824AB">
      <w:pPr>
        <w:spacing w:line="0" w:lineRule="atLeast"/>
        <w:ind w:left="2820"/>
        <w:rPr>
          <w:rFonts w:ascii="Times New Roman" w:eastAsia="Times New Roman" w:hAnsi="Times New Roman"/>
          <w:sz w:val="26"/>
        </w:rPr>
      </w:pPr>
      <w:r>
        <w:rPr>
          <w:rFonts w:ascii="Times New Roman" w:eastAsia="Times New Roman" w:hAnsi="Times New Roman"/>
          <w:sz w:val="26"/>
        </w:rPr>
        <w:t>Regístrese, hágase saber y devuélvase.</w:t>
      </w:r>
    </w:p>
    <w:p w:rsidR="00000000" w:rsidRDefault="008824AB">
      <w:pPr>
        <w:spacing w:line="0" w:lineRule="atLeast"/>
        <w:ind w:left="2820"/>
        <w:rPr>
          <w:rFonts w:ascii="Times New Roman" w:eastAsia="Times New Roman" w:hAnsi="Times New Roman"/>
          <w:sz w:val="26"/>
        </w:rPr>
        <w:sectPr w:rsidR="00000000">
          <w:pgSz w:w="11900" w:h="16840"/>
          <w:pgMar w:top="1440" w:right="3000" w:bottom="1440" w:left="1140" w:header="0" w:footer="0" w:gutter="0"/>
          <w:cols w:space="0" w:equalWidth="0">
            <w:col w:w="7760"/>
          </w:cols>
          <w:docGrid w:linePitch="360"/>
        </w:sectPr>
      </w:pPr>
    </w:p>
    <w:p w:rsidR="00000000" w:rsidRDefault="008824AB">
      <w:pPr>
        <w:spacing w:line="0" w:lineRule="atLeast"/>
        <w:ind w:left="440"/>
        <w:rPr>
          <w:sz w:val="24"/>
        </w:rPr>
      </w:pPr>
      <w:bookmarkStart w:id="38" w:name="page39"/>
      <w:bookmarkEnd w:id="38"/>
      <w:r>
        <w:rPr>
          <w:sz w:val="24"/>
        </w:rPr>
        <w:lastRenderedPageBreak/>
        <w:t>Año del Bicentenario de la Declaración de la Independenc</w:t>
      </w:r>
      <w:r>
        <w:rPr>
          <w:sz w:val="24"/>
        </w:rPr>
        <w:t>ia Nacional</w:t>
      </w:r>
    </w:p>
    <w:p w:rsidR="00000000" w:rsidRDefault="002D0F24">
      <w:pPr>
        <w:spacing w:line="200" w:lineRule="exact"/>
        <w:rPr>
          <w:rFonts w:ascii="Times New Roman" w:eastAsia="Times New Roman" w:hAnsi="Times New Roman"/>
        </w:rPr>
      </w:pPr>
      <w:r>
        <w:rPr>
          <w:noProof/>
          <w:sz w:val="24"/>
        </w:rPr>
        <w:drawing>
          <wp:anchor distT="0" distB="0" distL="114300" distR="114300" simplePos="0" relativeHeight="251685888" behindDoc="1" locked="0" layoutInCell="0" allowOverlap="1">
            <wp:simplePos x="0" y="0"/>
            <wp:positionH relativeFrom="column">
              <wp:posOffset>2213610</wp:posOffset>
            </wp:positionH>
            <wp:positionV relativeFrom="paragraph">
              <wp:posOffset>50800</wp:posOffset>
            </wp:positionV>
            <wp:extent cx="374650" cy="575945"/>
            <wp:effectExtent l="19050" t="0" r="6350" b="0"/>
            <wp:wrapNone/>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cstate="print"/>
                    <a:srcRect/>
                    <a:stretch>
                      <a:fillRect/>
                    </a:stretch>
                  </pic:blipFill>
                  <pic:spPr bwMode="auto">
                    <a:xfrm>
                      <a:off x="0" y="0"/>
                      <a:ext cx="374650" cy="575945"/>
                    </a:xfrm>
                    <a:prstGeom prst="rect">
                      <a:avLst/>
                    </a:prstGeom>
                    <a:noFill/>
                  </pic:spPr>
                </pic:pic>
              </a:graphicData>
            </a:graphic>
          </wp:anchor>
        </w:drawing>
      </w: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45" w:lineRule="exact"/>
        <w:rPr>
          <w:rFonts w:ascii="Times New Roman" w:eastAsia="Times New Roman" w:hAnsi="Times New Roman"/>
        </w:rPr>
      </w:pPr>
    </w:p>
    <w:p w:rsidR="00000000" w:rsidRDefault="008824AB">
      <w:pPr>
        <w:spacing w:line="0" w:lineRule="atLeast"/>
        <w:ind w:left="2240"/>
        <w:rPr>
          <w:rFonts w:ascii="Times New Roman" w:eastAsia="Times New Roman" w:hAnsi="Times New Roman"/>
          <w:sz w:val="28"/>
        </w:rPr>
      </w:pPr>
      <w:r>
        <w:rPr>
          <w:rFonts w:ascii="Times New Roman" w:eastAsia="Times New Roman" w:hAnsi="Times New Roman"/>
          <w:sz w:val="28"/>
        </w:rPr>
        <w:t>Poder Judicial de la Nación</w:t>
      </w:r>
    </w:p>
    <w:p w:rsidR="00000000" w:rsidRDefault="008824AB">
      <w:pPr>
        <w:spacing w:line="129" w:lineRule="exact"/>
        <w:rPr>
          <w:rFonts w:ascii="Times New Roman" w:eastAsia="Times New Roman" w:hAnsi="Times New Roman"/>
        </w:rPr>
      </w:pPr>
    </w:p>
    <w:p w:rsidR="00000000" w:rsidRDefault="008824AB">
      <w:pPr>
        <w:spacing w:line="239" w:lineRule="auto"/>
        <w:jc w:val="right"/>
        <w:rPr>
          <w:rFonts w:ascii="Times New Roman" w:eastAsia="Times New Roman" w:hAnsi="Times New Roman"/>
          <w:sz w:val="18"/>
        </w:rPr>
      </w:pPr>
      <w:r>
        <w:rPr>
          <w:rFonts w:ascii="Times New Roman" w:eastAsia="Times New Roman" w:hAnsi="Times New Roman"/>
          <w:sz w:val="18"/>
        </w:rPr>
        <w:t>CAMARA CRIMINAL Y CORRECCIONAL FEDERAL - SALA 2</w:t>
      </w:r>
    </w:p>
    <w:p w:rsidR="00000000" w:rsidRDefault="008824AB">
      <w:pPr>
        <w:spacing w:line="239" w:lineRule="auto"/>
        <w:jc w:val="right"/>
        <w:rPr>
          <w:rFonts w:ascii="Times New Roman" w:eastAsia="Times New Roman" w:hAnsi="Times New Roman"/>
          <w:sz w:val="18"/>
        </w:rPr>
      </w:pPr>
      <w:r>
        <w:rPr>
          <w:rFonts w:ascii="Times New Roman" w:eastAsia="Times New Roman" w:hAnsi="Times New Roman"/>
          <w:sz w:val="18"/>
        </w:rPr>
        <w:t>CFP 12152/2015/27/CA5</w:t>
      </w: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340" w:lineRule="exact"/>
        <w:rPr>
          <w:rFonts w:ascii="Times New Roman" w:eastAsia="Times New Roman" w:hAnsi="Times New Roman"/>
        </w:rPr>
      </w:pPr>
    </w:p>
    <w:p w:rsidR="00000000" w:rsidRDefault="008824AB">
      <w:pPr>
        <w:spacing w:line="352" w:lineRule="auto"/>
        <w:ind w:right="1140"/>
        <w:rPr>
          <w:rFonts w:ascii="Times New Roman" w:eastAsia="Times New Roman" w:hAnsi="Times New Roman"/>
          <w:sz w:val="24"/>
        </w:rPr>
      </w:pPr>
      <w:r>
        <w:rPr>
          <w:rFonts w:ascii="Times New Roman" w:eastAsia="Times New Roman" w:hAnsi="Times New Roman"/>
          <w:sz w:val="24"/>
        </w:rPr>
        <w:t>El Dr. Cattani no firma por encontrarse en uso de licencia. Conste.-Laura V. Landro</w:t>
      </w:r>
    </w:p>
    <w:p w:rsidR="00000000" w:rsidRDefault="008824AB">
      <w:pPr>
        <w:spacing w:line="200" w:lineRule="exact"/>
        <w:rPr>
          <w:rFonts w:ascii="Times New Roman" w:eastAsia="Times New Roman" w:hAnsi="Times New Roman"/>
        </w:rPr>
      </w:pPr>
    </w:p>
    <w:p w:rsidR="00000000" w:rsidRDefault="008824AB">
      <w:pPr>
        <w:spacing w:line="224" w:lineRule="exact"/>
        <w:rPr>
          <w:rFonts w:ascii="Times New Roman" w:eastAsia="Times New Roman" w:hAnsi="Times New Roman"/>
        </w:rPr>
      </w:pPr>
    </w:p>
    <w:p w:rsidR="00000000" w:rsidRDefault="008824AB">
      <w:pPr>
        <w:spacing w:line="0" w:lineRule="atLeast"/>
        <w:rPr>
          <w:rFonts w:ascii="Times New Roman" w:eastAsia="Times New Roman" w:hAnsi="Times New Roman"/>
          <w:sz w:val="24"/>
        </w:rPr>
      </w:pPr>
      <w:r>
        <w:rPr>
          <w:rFonts w:ascii="Times New Roman" w:eastAsia="Times New Roman" w:hAnsi="Times New Roman"/>
          <w:sz w:val="24"/>
        </w:rPr>
        <w:t>Cn° 37.726; Reg n° 42.057</w:t>
      </w: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382" w:lineRule="exact"/>
        <w:rPr>
          <w:rFonts w:ascii="Times New Roman" w:eastAsia="Times New Roman" w:hAnsi="Times New Roman"/>
        </w:rPr>
      </w:pPr>
    </w:p>
    <w:tbl>
      <w:tblPr>
        <w:tblW w:w="0" w:type="auto"/>
        <w:tblInd w:w="140" w:type="dxa"/>
        <w:tblLayout w:type="fixed"/>
        <w:tblCellMar>
          <w:top w:w="0" w:type="dxa"/>
          <w:left w:w="0" w:type="dxa"/>
          <w:bottom w:w="0" w:type="dxa"/>
          <w:right w:w="0" w:type="dxa"/>
        </w:tblCellMar>
        <w:tblLook w:val="0000"/>
      </w:tblPr>
      <w:tblGrid>
        <w:gridCol w:w="2300"/>
        <w:gridCol w:w="1900"/>
      </w:tblGrid>
      <w:tr w:rsidR="00000000">
        <w:trPr>
          <w:trHeight w:val="244"/>
        </w:trPr>
        <w:tc>
          <w:tcPr>
            <w:tcW w:w="2300" w:type="dxa"/>
            <w:shd w:val="clear" w:color="auto" w:fill="auto"/>
            <w:vAlign w:val="bottom"/>
          </w:tcPr>
          <w:p w:rsidR="00000000" w:rsidRDefault="008824AB">
            <w:pPr>
              <w:spacing w:line="0" w:lineRule="atLeast"/>
              <w:ind w:right="340"/>
              <w:jc w:val="center"/>
            </w:pPr>
            <w:r>
              <w:t>EDUARDO GUILLE</w:t>
            </w:r>
            <w:r>
              <w:t>RMO</w:t>
            </w:r>
          </w:p>
        </w:tc>
        <w:tc>
          <w:tcPr>
            <w:tcW w:w="1900" w:type="dxa"/>
            <w:shd w:val="clear" w:color="auto" w:fill="auto"/>
            <w:vAlign w:val="bottom"/>
          </w:tcPr>
          <w:p w:rsidR="00000000" w:rsidRDefault="008824AB">
            <w:pPr>
              <w:spacing w:line="0" w:lineRule="atLeast"/>
              <w:ind w:left="440"/>
              <w:rPr>
                <w:w w:val="98"/>
              </w:rPr>
            </w:pPr>
            <w:r>
              <w:rPr>
                <w:w w:val="98"/>
              </w:rPr>
              <w:t>MARTIN IRURZUN</w:t>
            </w:r>
          </w:p>
        </w:tc>
      </w:tr>
      <w:tr w:rsidR="00000000">
        <w:trPr>
          <w:trHeight w:val="242"/>
        </w:trPr>
        <w:tc>
          <w:tcPr>
            <w:tcW w:w="2300" w:type="dxa"/>
            <w:shd w:val="clear" w:color="auto" w:fill="auto"/>
            <w:vAlign w:val="bottom"/>
          </w:tcPr>
          <w:p w:rsidR="00000000" w:rsidRDefault="008824AB">
            <w:pPr>
              <w:spacing w:line="242" w:lineRule="exact"/>
              <w:ind w:right="340"/>
              <w:jc w:val="center"/>
              <w:rPr>
                <w:w w:val="96"/>
              </w:rPr>
            </w:pPr>
            <w:r>
              <w:rPr>
                <w:w w:val="96"/>
              </w:rPr>
              <w:t>FARAH</w:t>
            </w:r>
          </w:p>
        </w:tc>
        <w:tc>
          <w:tcPr>
            <w:tcW w:w="1900" w:type="dxa"/>
            <w:shd w:val="clear" w:color="auto" w:fill="auto"/>
            <w:vAlign w:val="bottom"/>
          </w:tcPr>
          <w:p w:rsidR="00000000" w:rsidRDefault="008824AB">
            <w:pPr>
              <w:spacing w:line="242" w:lineRule="exact"/>
              <w:ind w:left="440"/>
            </w:pPr>
            <w:r>
              <w:t>JUEZ DE CAMARA</w:t>
            </w:r>
          </w:p>
        </w:tc>
      </w:tr>
      <w:tr w:rsidR="00000000">
        <w:trPr>
          <w:trHeight w:val="245"/>
        </w:trPr>
        <w:tc>
          <w:tcPr>
            <w:tcW w:w="2300" w:type="dxa"/>
            <w:shd w:val="clear" w:color="auto" w:fill="auto"/>
            <w:vAlign w:val="bottom"/>
          </w:tcPr>
          <w:p w:rsidR="00000000" w:rsidRDefault="008824AB">
            <w:pPr>
              <w:spacing w:line="0" w:lineRule="atLeast"/>
              <w:ind w:right="340"/>
              <w:jc w:val="center"/>
              <w:rPr>
                <w:w w:val="99"/>
              </w:rPr>
            </w:pPr>
            <w:r>
              <w:rPr>
                <w:w w:val="99"/>
              </w:rPr>
              <w:t>JUEZ DE CAMARA</w:t>
            </w:r>
          </w:p>
        </w:tc>
        <w:tc>
          <w:tcPr>
            <w:tcW w:w="1900" w:type="dxa"/>
            <w:shd w:val="clear" w:color="auto" w:fill="auto"/>
            <w:vAlign w:val="bottom"/>
          </w:tcPr>
          <w:p w:rsidR="00000000" w:rsidRDefault="008824AB">
            <w:pPr>
              <w:spacing w:line="0" w:lineRule="atLeast"/>
              <w:rPr>
                <w:rFonts w:ascii="Times New Roman" w:eastAsia="Times New Roman" w:hAnsi="Times New Roman"/>
                <w:sz w:val="21"/>
              </w:rPr>
            </w:pPr>
          </w:p>
        </w:tc>
      </w:tr>
    </w:tbl>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200" w:lineRule="exact"/>
        <w:rPr>
          <w:rFonts w:ascii="Times New Roman" w:eastAsia="Times New Roman" w:hAnsi="Times New Roman"/>
        </w:rPr>
      </w:pPr>
    </w:p>
    <w:p w:rsidR="00000000" w:rsidRDefault="008824AB">
      <w:pPr>
        <w:spacing w:line="366" w:lineRule="exact"/>
        <w:rPr>
          <w:rFonts w:ascii="Times New Roman" w:eastAsia="Times New Roman" w:hAnsi="Times New Roman"/>
        </w:rPr>
      </w:pPr>
    </w:p>
    <w:p w:rsidR="00000000" w:rsidRDefault="008824AB">
      <w:pPr>
        <w:spacing w:line="0" w:lineRule="atLeast"/>
        <w:ind w:left="20"/>
      </w:pPr>
      <w:r>
        <w:t>LAURA VICTORIA LANDRO</w:t>
      </w:r>
    </w:p>
    <w:p w:rsidR="00000000" w:rsidRDefault="008824AB">
      <w:pPr>
        <w:spacing w:line="1" w:lineRule="exact"/>
        <w:rPr>
          <w:rFonts w:ascii="Times New Roman" w:eastAsia="Times New Roman" w:hAnsi="Times New Roman"/>
        </w:rPr>
      </w:pPr>
    </w:p>
    <w:p w:rsidR="00000000" w:rsidRDefault="008824AB">
      <w:pPr>
        <w:spacing w:line="0" w:lineRule="atLeast"/>
        <w:ind w:left="200"/>
      </w:pPr>
      <w:r>
        <w:t>Secretaria de Cámara</w:t>
      </w:r>
    </w:p>
    <w:p w:rsidR="008824AB" w:rsidRDefault="008824AB">
      <w:pPr>
        <w:spacing w:line="0" w:lineRule="atLeast"/>
        <w:ind w:left="200"/>
        <w:sectPr w:rsidR="008824AB">
          <w:pgSz w:w="11900" w:h="16840"/>
          <w:pgMar w:top="373" w:right="1120" w:bottom="1440" w:left="3200" w:header="0" w:footer="0" w:gutter="0"/>
          <w:cols w:space="0" w:equalWidth="0">
            <w:col w:w="7580"/>
          </w:cols>
          <w:docGrid w:linePitch="360"/>
        </w:sectPr>
      </w:pPr>
    </w:p>
    <w:sectPr w:rsidR="008824AB">
      <w:pgSz w:w="11900" w:h="16840"/>
      <w:pgMar w:top="373" w:right="1120" w:bottom="1440" w:left="3200" w:header="0" w:footer="0" w:gutter="0"/>
      <w:cols w:space="0" w:equalWidth="0">
        <w:col w:w="758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12E27"/>
    <w:rsid w:val="002D0F24"/>
    <w:rsid w:val="00512E27"/>
    <w:rsid w:val="008824A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CellMar>
        <w:top w:w="0" w:type="dxa"/>
        <w:left w:w="0" w:type="dxa"/>
        <w:bottom w:w="0" w:type="dxa"/>
        <w:right w:w="0"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10132</Words>
  <Characters>55731</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csjn</Company>
  <LinksUpToDate>false</LinksUpToDate>
  <CharactersWithSpaces>65732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csjn</dc:creator>
  <cp:keywords/>
  <cp:lastModifiedBy>csjn</cp:lastModifiedBy>
  <cp:revision>2</cp:revision>
  <dcterms:created xsi:type="dcterms:W3CDTF">2016-11-11T19:03:00Z</dcterms:created>
  <dcterms:modified xsi:type="dcterms:W3CDTF">2016-11-11T19:03:00Z</dcterms:modified>
</cp:coreProperties>
</file>